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20" w:rsidRDefault="00CB462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B4620" w:rsidRDefault="00CB4620">
      <w:pPr>
        <w:pStyle w:val="ConsPlusNormal"/>
        <w:jc w:val="both"/>
        <w:outlineLvl w:val="0"/>
      </w:pPr>
    </w:p>
    <w:p w:rsidR="00CB4620" w:rsidRDefault="00CB4620">
      <w:pPr>
        <w:pStyle w:val="ConsPlusNormal"/>
        <w:outlineLvl w:val="0"/>
      </w:pPr>
      <w:r>
        <w:t>Зарегистрировано в Минюсте России 22 декабря 2022 г. N 71780</w:t>
      </w:r>
    </w:p>
    <w:p w:rsidR="00CB4620" w:rsidRDefault="00CB46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4620" w:rsidRDefault="00CB4620">
      <w:pPr>
        <w:pStyle w:val="ConsPlusNormal"/>
        <w:jc w:val="center"/>
      </w:pPr>
    </w:p>
    <w:p w:rsidR="00CB4620" w:rsidRDefault="00CB4620">
      <w:pPr>
        <w:pStyle w:val="ConsPlusTitle"/>
        <w:jc w:val="center"/>
      </w:pPr>
      <w:r>
        <w:t>МИНИСТЕРСТВО ПРОСВЕЩЕНИЯ РОССИЙСКОЙ ФЕДЕРАЦИИ</w:t>
      </w:r>
    </w:p>
    <w:p w:rsidR="00CB4620" w:rsidRDefault="00CB4620">
      <w:pPr>
        <w:pStyle w:val="ConsPlusTitle"/>
        <w:jc w:val="center"/>
      </w:pPr>
    </w:p>
    <w:p w:rsidR="00CB4620" w:rsidRDefault="00CB4620">
      <w:pPr>
        <w:pStyle w:val="ConsPlusTitle"/>
        <w:jc w:val="center"/>
      </w:pPr>
      <w:r>
        <w:t>ПРИКАЗ</w:t>
      </w:r>
    </w:p>
    <w:p w:rsidR="00CB4620" w:rsidRDefault="00CB4620">
      <w:pPr>
        <w:pStyle w:val="ConsPlusTitle"/>
        <w:jc w:val="center"/>
      </w:pPr>
      <w:r>
        <w:t>от 18 ноября 2022 г. N 1003</w:t>
      </w:r>
    </w:p>
    <w:p w:rsidR="00CB4620" w:rsidRDefault="00CB4620">
      <w:pPr>
        <w:pStyle w:val="ConsPlusTitle"/>
        <w:jc w:val="center"/>
      </w:pPr>
    </w:p>
    <w:p w:rsidR="00CB4620" w:rsidRDefault="00CB4620">
      <w:pPr>
        <w:pStyle w:val="ConsPlusTitle"/>
        <w:jc w:val="center"/>
      </w:pPr>
      <w:r>
        <w:t>ОБ УТВЕРЖДЕНИИ</w:t>
      </w:r>
    </w:p>
    <w:p w:rsidR="00CB4620" w:rsidRDefault="00CB4620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CB4620" w:rsidRDefault="00CB4620">
      <w:pPr>
        <w:pStyle w:val="ConsPlusTitle"/>
        <w:jc w:val="center"/>
      </w:pPr>
      <w:r>
        <w:t>СРЕДНЕГО ПРОФЕССИОНАЛЬНОГО ОБРАЗОВАНИЯ ПО ПРОФЕССИИ 08.01.29</w:t>
      </w:r>
    </w:p>
    <w:p w:rsidR="00CB4620" w:rsidRDefault="00CB4620">
      <w:pPr>
        <w:pStyle w:val="ConsPlusTitle"/>
        <w:jc w:val="center"/>
      </w:pPr>
      <w:r>
        <w:t>МАСТЕР ПО РЕМОНТУ И ОБСЛУЖИВАНИЮ ИНЖЕНЕРНЫХ СИСТЕМ</w:t>
      </w:r>
    </w:p>
    <w:p w:rsidR="00CB4620" w:rsidRDefault="00CB4620">
      <w:pPr>
        <w:pStyle w:val="ConsPlusTitle"/>
        <w:jc w:val="center"/>
      </w:pPr>
      <w:r>
        <w:t>ЖИЛИЩНО-КОММУНАЛЬНОГО ХОЗЯЙСТВА</w:t>
      </w:r>
    </w:p>
    <w:p w:rsidR="00CB4620" w:rsidRDefault="00CB46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46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620" w:rsidRDefault="00CB46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620" w:rsidRDefault="00CB46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4620" w:rsidRDefault="00CB46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4620" w:rsidRDefault="00CB46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620" w:rsidRDefault="00CB4620">
            <w:pPr>
              <w:pStyle w:val="ConsPlusNormal"/>
            </w:pPr>
          </w:p>
        </w:tc>
      </w:tr>
    </w:tbl>
    <w:p w:rsidR="00CB4620" w:rsidRDefault="00CB4620">
      <w:pPr>
        <w:pStyle w:val="ConsPlusNormal"/>
        <w:jc w:val="center"/>
      </w:pPr>
    </w:p>
    <w:p w:rsidR="00CB4620" w:rsidRDefault="00CB4620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08.01.29 Мастер по ремонту и обслуживанию инженерных систем жилищно-коммунального хозяйства (далее - стандарт).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7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9">
        <w:r>
          <w:rPr>
            <w:color w:val="0000FF"/>
          </w:rPr>
          <w:t>08.01.26</w:t>
        </w:r>
      </w:hyperlink>
      <w:r>
        <w:t xml:space="preserve"> Мастер по ремонту и обслуживанию инженерных систем жилищно-коммунального хозяйства, утвержденным приказом Министерства образования и науки Российской Федерации от 9 декабря 2016 г. N 1578 (зарегистрирован Министерством юстиции Российской Федерации 23 декабря 2016 г., регистрационный N 44915), с изменениями, внесенными приказом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62178), федеральным государственным образовательным </w:t>
      </w:r>
      <w:hyperlink r:id="rId10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11">
        <w:r>
          <w:rPr>
            <w:color w:val="0000FF"/>
          </w:rPr>
          <w:t>08.01.10</w:t>
        </w:r>
      </w:hyperlink>
      <w:r>
        <w:t xml:space="preserve"> Мастер жилищно-коммунального хозяйства, утвержденным приказом Министерства образования и науки Российской Федерации от 28 февраля 2018 г. N 140 (зарегистрирован Министерством юстиции Российской Федерации 23 марта 2018 г., регистрационный N 50490), и федеральным государственным образовательным </w:t>
      </w:r>
      <w:hyperlink r:id="rId12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13">
        <w:r>
          <w:rPr>
            <w:color w:val="0000FF"/>
          </w:rPr>
          <w:t>08.01.14</w:t>
        </w:r>
      </w:hyperlink>
      <w:r>
        <w:t xml:space="preserve"> Монтажник санитарно-технических, вентиляционных систем и оборудования, утвержденным приказом Министерства образования и науки Российской Федерации от 28 февраля 2018 г. N 142 (зарегистрирован Министерством юстиции Российской Федерации 23 марта 2018 г., регистрационный N 50486), </w:t>
      </w:r>
      <w:r>
        <w:lastRenderedPageBreak/>
        <w:t>прекращается с 1 февраля 2023 года.</w:t>
      </w:r>
    </w:p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Normal"/>
        <w:jc w:val="right"/>
      </w:pPr>
      <w:r>
        <w:t>Исполняющий обязанности Министра</w:t>
      </w:r>
    </w:p>
    <w:p w:rsidR="00CB4620" w:rsidRDefault="00CB4620">
      <w:pPr>
        <w:pStyle w:val="ConsPlusNormal"/>
        <w:jc w:val="right"/>
      </w:pPr>
      <w:r>
        <w:t>А.А.КОРНЕЕВ</w:t>
      </w:r>
    </w:p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Normal"/>
        <w:jc w:val="right"/>
        <w:outlineLvl w:val="0"/>
      </w:pPr>
      <w:r>
        <w:t>Приложение</w:t>
      </w:r>
    </w:p>
    <w:p w:rsidR="00CB4620" w:rsidRDefault="00CB4620">
      <w:pPr>
        <w:pStyle w:val="ConsPlusNormal"/>
        <w:jc w:val="right"/>
      </w:pPr>
    </w:p>
    <w:p w:rsidR="00CB4620" w:rsidRDefault="00CB4620">
      <w:pPr>
        <w:pStyle w:val="ConsPlusNormal"/>
        <w:jc w:val="right"/>
      </w:pPr>
      <w:r>
        <w:t>Утвержден</w:t>
      </w:r>
    </w:p>
    <w:p w:rsidR="00CB4620" w:rsidRDefault="00CB4620">
      <w:pPr>
        <w:pStyle w:val="ConsPlusNormal"/>
        <w:jc w:val="right"/>
      </w:pPr>
      <w:r>
        <w:t>приказом Министерства просвещения</w:t>
      </w:r>
    </w:p>
    <w:p w:rsidR="00CB4620" w:rsidRDefault="00CB4620">
      <w:pPr>
        <w:pStyle w:val="ConsPlusNormal"/>
        <w:jc w:val="right"/>
      </w:pPr>
      <w:r>
        <w:t>Российской Федерации</w:t>
      </w:r>
    </w:p>
    <w:p w:rsidR="00CB4620" w:rsidRDefault="00CB4620">
      <w:pPr>
        <w:pStyle w:val="ConsPlusNormal"/>
        <w:jc w:val="right"/>
      </w:pPr>
      <w:r>
        <w:t>от 18 ноября 2022 г. N 1003</w:t>
      </w:r>
    </w:p>
    <w:p w:rsidR="00CB4620" w:rsidRDefault="00CB4620">
      <w:pPr>
        <w:pStyle w:val="ConsPlusNormal"/>
        <w:jc w:val="center"/>
      </w:pPr>
    </w:p>
    <w:p w:rsidR="00CB4620" w:rsidRDefault="00CB4620">
      <w:pPr>
        <w:pStyle w:val="ConsPlusTitle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CB4620" w:rsidRDefault="00CB4620">
      <w:pPr>
        <w:pStyle w:val="ConsPlusTitle"/>
        <w:jc w:val="center"/>
      </w:pPr>
      <w:r>
        <w:t>СРЕДНЕГО ПРОФЕССИОНАЛЬНОГО ОБРАЗОВАНИЯ ПО ПРОФЕССИИ 08.01.29</w:t>
      </w:r>
    </w:p>
    <w:p w:rsidR="00CB4620" w:rsidRDefault="00CB4620">
      <w:pPr>
        <w:pStyle w:val="ConsPlusTitle"/>
        <w:jc w:val="center"/>
      </w:pPr>
      <w:r>
        <w:t>МАСТЕР ПО РЕМОНТУ И ОБСЛУЖИВАНИЮ ИНЖЕНЕРНЫХ СИСТЕМ</w:t>
      </w:r>
    </w:p>
    <w:p w:rsidR="00CB4620" w:rsidRDefault="00CB4620">
      <w:pPr>
        <w:pStyle w:val="ConsPlusTitle"/>
        <w:jc w:val="center"/>
      </w:pPr>
      <w:r>
        <w:t>ЖИЛИЩНО-КОММУНАЛЬНОГО ХОЗЯЙСТВА</w:t>
      </w:r>
    </w:p>
    <w:p w:rsidR="00CB4620" w:rsidRDefault="00CB46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46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620" w:rsidRDefault="00CB46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620" w:rsidRDefault="00CB46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4620" w:rsidRDefault="00CB46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4620" w:rsidRDefault="00CB46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620" w:rsidRDefault="00CB4620">
            <w:pPr>
              <w:pStyle w:val="ConsPlusNormal"/>
            </w:pPr>
          </w:p>
        </w:tc>
      </w:tr>
    </w:tbl>
    <w:p w:rsidR="00CB4620" w:rsidRDefault="00CB4620">
      <w:pPr>
        <w:pStyle w:val="ConsPlusNormal"/>
        <w:jc w:val="center"/>
      </w:pPr>
    </w:p>
    <w:p w:rsidR="00CB4620" w:rsidRDefault="00CB4620">
      <w:pPr>
        <w:pStyle w:val="ConsPlusTitle"/>
        <w:jc w:val="center"/>
        <w:outlineLvl w:val="1"/>
      </w:pPr>
      <w:r>
        <w:t>I. ОБЩИЕ ПОЛОЖЕНИЯ</w:t>
      </w:r>
    </w:p>
    <w:p w:rsidR="00CB4620" w:rsidRDefault="00CB4620">
      <w:pPr>
        <w:pStyle w:val="ConsPlusNormal"/>
        <w:jc w:val="center"/>
      </w:pPr>
    </w:p>
    <w:p w:rsidR="00CB4620" w:rsidRDefault="00CB4620">
      <w:pPr>
        <w:pStyle w:val="ConsPlusNormal"/>
        <w:ind w:firstLine="540"/>
        <w:jc w:val="both"/>
      </w:pPr>
      <w:bookmarkStart w:id="1" w:name="P46"/>
      <w:bookmarkEnd w:id="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08.01.29 Мастер по ремонту и обслуживанию инженерных систем жилищно-коммунального хозяйства (далее соответственно - ФГОС СПО, образовательная программа, профессия) в соответствии с квалификацией квалифицированного рабочего, служащего "мастер инженерных систем жилищно-коммунального хозяйства" &lt;1&gt;.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Normal"/>
        <w:ind w:firstLine="540"/>
        <w:jc w:val="both"/>
      </w:pPr>
      <w: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6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:rsidR="00CB4620" w:rsidRDefault="00CB4620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lastRenderedPageBreak/>
        <w:t xml:space="preserve">&lt;2&gt; Федеральный государственный образовательный </w:t>
      </w:r>
      <w:hyperlink r:id="rId18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CB4620" w:rsidRDefault="00CB4620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 и очно-заочной формах обучения.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CB4620" w:rsidRDefault="00CB4620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1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2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</w:t>
      </w:r>
      <w:r>
        <w:lastRenderedPageBreak/>
        <w:t>Российской Федерации" (Собрание законодательства Российской Федерации, 2012, N 53, ст. 7598; 2018, N 32, ст. 5110).</w:t>
      </w:r>
    </w:p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Normal"/>
        <w:ind w:firstLine="540"/>
        <w:jc w:val="both"/>
      </w:pPr>
      <w:bookmarkStart w:id="2" w:name="P71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на базе среднего общего образования - 10 месяцев;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на базе основного общего образования - 1 год 10 месяцев.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71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CB4620" w:rsidRDefault="00CB4620">
      <w:pPr>
        <w:pStyle w:val="ConsPlusNormal"/>
        <w:spacing w:before="220"/>
        <w:ind w:firstLine="540"/>
        <w:jc w:val="both"/>
      </w:pPr>
      <w:bookmarkStart w:id="3" w:name="P79"/>
      <w:bookmarkEnd w:id="3"/>
      <w: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23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&lt;5&gt;.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4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34779),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CB4620" w:rsidRDefault="00CB4620">
      <w:pPr>
        <w:pStyle w:val="ConsPlusNormal"/>
        <w:jc w:val="both"/>
      </w:pPr>
      <w:r>
        <w:t xml:space="preserve">(п. 1.14 в ред. </w:t>
      </w:r>
      <w:hyperlink r:id="rId2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CB4620" w:rsidRDefault="00CB4620">
      <w:pPr>
        <w:pStyle w:val="ConsPlusNormal"/>
        <w:jc w:val="center"/>
      </w:pPr>
    </w:p>
    <w:p w:rsidR="00CB4620" w:rsidRDefault="00CB4620">
      <w:pPr>
        <w:pStyle w:val="ConsPlusTitle"/>
        <w:jc w:val="center"/>
        <w:outlineLvl w:val="1"/>
      </w:pPr>
      <w:r>
        <w:lastRenderedPageBreak/>
        <w:t>II. ТРЕБОВАНИЯ К СТРУКТУРЕ ОБРАЗОВАТЕЛЬНОЙ ПРОГРАММЫ</w:t>
      </w:r>
    </w:p>
    <w:p w:rsidR="00CB4620" w:rsidRDefault="00CB4620">
      <w:pPr>
        <w:pStyle w:val="ConsPlusNormal"/>
        <w:jc w:val="center"/>
      </w:pPr>
    </w:p>
    <w:p w:rsidR="00CB4620" w:rsidRDefault="00CB4620">
      <w:pPr>
        <w:pStyle w:val="ConsPlusNormal"/>
        <w:ind w:firstLine="540"/>
        <w:jc w:val="both"/>
      </w:pPr>
      <w:r>
        <w:t>2.1. Структура и объем образовательной программы (таблица N 1) включает: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практику;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CB4620" w:rsidRDefault="00CB4620">
      <w:pPr>
        <w:pStyle w:val="ConsPlusNormal"/>
        <w:jc w:val="right"/>
      </w:pPr>
    </w:p>
    <w:p w:rsidR="00CB4620" w:rsidRDefault="00CB4620">
      <w:pPr>
        <w:pStyle w:val="ConsPlusNormal"/>
        <w:jc w:val="right"/>
      </w:pPr>
      <w:r>
        <w:t>Таблица N 1</w:t>
      </w:r>
    </w:p>
    <w:p w:rsidR="00CB4620" w:rsidRDefault="00CB4620">
      <w:pPr>
        <w:pStyle w:val="ConsPlusNormal"/>
        <w:jc w:val="center"/>
      </w:pPr>
    </w:p>
    <w:p w:rsidR="00CB4620" w:rsidRDefault="00CB4620">
      <w:pPr>
        <w:pStyle w:val="ConsPlusNormal"/>
        <w:jc w:val="center"/>
      </w:pPr>
      <w:r>
        <w:t>Структура и объем образовательной программы</w:t>
      </w:r>
    </w:p>
    <w:p w:rsidR="00CB4620" w:rsidRDefault="00CB462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8"/>
      </w:tblGrid>
      <w:tr w:rsidR="00CB4620">
        <w:tc>
          <w:tcPr>
            <w:tcW w:w="5102" w:type="dxa"/>
          </w:tcPr>
          <w:p w:rsidR="00CB4620" w:rsidRDefault="00CB4620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968" w:type="dxa"/>
          </w:tcPr>
          <w:p w:rsidR="00CB4620" w:rsidRDefault="00CB4620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CB4620">
        <w:tc>
          <w:tcPr>
            <w:tcW w:w="5102" w:type="dxa"/>
          </w:tcPr>
          <w:p w:rsidR="00CB4620" w:rsidRDefault="00CB4620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968" w:type="dxa"/>
          </w:tcPr>
          <w:p w:rsidR="00CB4620" w:rsidRDefault="00CB4620">
            <w:pPr>
              <w:pStyle w:val="ConsPlusNormal"/>
              <w:jc w:val="center"/>
            </w:pPr>
            <w:r>
              <w:t>Не менее 540</w:t>
            </w:r>
          </w:p>
        </w:tc>
      </w:tr>
      <w:tr w:rsidR="00CB4620">
        <w:tc>
          <w:tcPr>
            <w:tcW w:w="5102" w:type="dxa"/>
          </w:tcPr>
          <w:p w:rsidR="00CB4620" w:rsidRDefault="00CB4620">
            <w:pPr>
              <w:pStyle w:val="ConsPlusNormal"/>
            </w:pPr>
            <w:r>
              <w:t>Практика</w:t>
            </w:r>
          </w:p>
        </w:tc>
        <w:tc>
          <w:tcPr>
            <w:tcW w:w="3968" w:type="dxa"/>
          </w:tcPr>
          <w:p w:rsidR="00CB4620" w:rsidRDefault="00CB4620">
            <w:pPr>
              <w:pStyle w:val="ConsPlusNormal"/>
              <w:jc w:val="center"/>
            </w:pPr>
            <w:r>
              <w:t>Не менее 468</w:t>
            </w:r>
          </w:p>
        </w:tc>
      </w:tr>
      <w:tr w:rsidR="00CB4620">
        <w:tc>
          <w:tcPr>
            <w:tcW w:w="5102" w:type="dxa"/>
          </w:tcPr>
          <w:p w:rsidR="00CB4620" w:rsidRDefault="00CB4620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968" w:type="dxa"/>
          </w:tcPr>
          <w:p w:rsidR="00CB4620" w:rsidRDefault="00CB4620">
            <w:pPr>
              <w:pStyle w:val="ConsPlusNormal"/>
              <w:jc w:val="center"/>
            </w:pPr>
            <w:r>
              <w:t>36</w:t>
            </w:r>
          </w:p>
        </w:tc>
      </w:tr>
      <w:tr w:rsidR="00CB4620">
        <w:tc>
          <w:tcPr>
            <w:tcW w:w="9070" w:type="dxa"/>
            <w:gridSpan w:val="2"/>
          </w:tcPr>
          <w:p w:rsidR="00CB4620" w:rsidRDefault="00CB4620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CB4620">
        <w:tc>
          <w:tcPr>
            <w:tcW w:w="5102" w:type="dxa"/>
          </w:tcPr>
          <w:p w:rsidR="00CB4620" w:rsidRDefault="00CB4620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968" w:type="dxa"/>
          </w:tcPr>
          <w:p w:rsidR="00CB4620" w:rsidRDefault="00CB4620">
            <w:pPr>
              <w:pStyle w:val="ConsPlusNormal"/>
              <w:jc w:val="center"/>
            </w:pPr>
            <w:r>
              <w:t>1476</w:t>
            </w:r>
          </w:p>
        </w:tc>
      </w:tr>
      <w:tr w:rsidR="00CB4620">
        <w:tc>
          <w:tcPr>
            <w:tcW w:w="5102" w:type="dxa"/>
          </w:tcPr>
          <w:p w:rsidR="00CB4620" w:rsidRDefault="00CB4620">
            <w:pPr>
              <w:pStyle w:val="ConsPlusNormal"/>
            </w:pPr>
            <w: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26">
              <w:r>
                <w:rPr>
                  <w:color w:val="0000FF"/>
                </w:rPr>
                <w:t>стандарта</w:t>
              </w:r>
            </w:hyperlink>
            <w:r>
              <w:t xml:space="preserve"> среднего общего образования</w:t>
            </w:r>
          </w:p>
        </w:tc>
        <w:tc>
          <w:tcPr>
            <w:tcW w:w="3968" w:type="dxa"/>
          </w:tcPr>
          <w:p w:rsidR="00CB4620" w:rsidRDefault="00CB4620">
            <w:pPr>
              <w:pStyle w:val="ConsPlusNormal"/>
              <w:jc w:val="center"/>
            </w:pPr>
            <w:r>
              <w:t>2952</w:t>
            </w:r>
          </w:p>
        </w:tc>
      </w:tr>
    </w:tbl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4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</w:t>
      </w:r>
      <w:r>
        <w:lastRenderedPageBreak/>
        <w:t>выпускника в соответствии с потребностями регионального рынка труда, а также с учетом требований цифровой экономики.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CB4620" w:rsidRDefault="00CB4620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CB4620" w:rsidRDefault="00CB4620">
      <w:pPr>
        <w:pStyle w:val="ConsPlusNormal"/>
        <w:spacing w:before="220"/>
        <w:ind w:firstLine="540"/>
        <w:jc w:val="both"/>
      </w:pPr>
      <w:bookmarkStart w:id="4" w:name="P122"/>
      <w:bookmarkEnd w:id="4"/>
      <w: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</w:t>
      </w:r>
    </w:p>
    <w:p w:rsidR="00CB4620" w:rsidRDefault="00CB4620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выполнение работ по ремонту, монтажу и эксплуатации систем водоснабжения, водоотведения и отопления систем жилищно-коммунального хозяйства;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выполнение сварочных работ при ремонте оборудования систем отопления водоснабжения и водоотведения (по выбору);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поддержание в рабочем состоянии силовых и слаботочных систем зданий и сооружений, системы освещения и осветительных сетей объектов жилищно-коммунального хозяйства (по выбору).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2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</w:t>
      </w:r>
      <w:r>
        <w:lastRenderedPageBreak/>
        <w:t>культура" с учетом состояния их здоровья.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"Техническое черчение", "Электротехника".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22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:rsidR="00CB4620" w:rsidRDefault="00CB4620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CB4620" w:rsidRDefault="00CB4620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>
        <w:t>при необходимости</w:t>
      </w:r>
      <w:proofErr w:type="gramEnd"/>
      <w:r>
        <w:t xml:space="preserve"> обеспечивающей коррекцию нарушений развития и социальную адаптацию указанных лиц.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46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CB4620" w:rsidRDefault="00CB4620">
      <w:pPr>
        <w:pStyle w:val="ConsPlusNormal"/>
        <w:jc w:val="center"/>
      </w:pPr>
    </w:p>
    <w:p w:rsidR="00CB4620" w:rsidRDefault="00CB4620">
      <w:pPr>
        <w:pStyle w:val="ConsPlusTitle"/>
        <w:jc w:val="center"/>
        <w:outlineLvl w:val="1"/>
      </w:pPr>
      <w:bookmarkStart w:id="5" w:name="P144"/>
      <w:bookmarkEnd w:id="5"/>
      <w:r>
        <w:t>III. ТРЕБОВАНИЯ К РЕЗУЛЬТАТАМ ОСВОЕНИЯ</w:t>
      </w:r>
    </w:p>
    <w:p w:rsidR="00CB4620" w:rsidRDefault="00CB4620">
      <w:pPr>
        <w:pStyle w:val="ConsPlusTitle"/>
        <w:jc w:val="center"/>
      </w:pPr>
      <w:r>
        <w:t>ОБРАЗОВАТЕЛЬНОЙ ПРОГРАММЫ</w:t>
      </w:r>
    </w:p>
    <w:p w:rsidR="00CB4620" w:rsidRDefault="00CB4620">
      <w:pPr>
        <w:pStyle w:val="ConsPlusNormal"/>
        <w:jc w:val="center"/>
      </w:pPr>
    </w:p>
    <w:p w:rsidR="00CB4620" w:rsidRDefault="00CB4620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lastRenderedPageBreak/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22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Normal"/>
        <w:jc w:val="right"/>
      </w:pPr>
      <w:r>
        <w:t>Таблица N 2</w:t>
      </w:r>
    </w:p>
    <w:p w:rsidR="00CB4620" w:rsidRDefault="00CB462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1"/>
        <w:gridCol w:w="5329"/>
      </w:tblGrid>
      <w:tr w:rsidR="00CB4620">
        <w:tc>
          <w:tcPr>
            <w:tcW w:w="3741" w:type="dxa"/>
          </w:tcPr>
          <w:p w:rsidR="00CB4620" w:rsidRDefault="00CB4620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5329" w:type="dxa"/>
          </w:tcPr>
          <w:p w:rsidR="00CB4620" w:rsidRDefault="00CB4620">
            <w:pPr>
              <w:pStyle w:val="ConsPlusNormal"/>
              <w:jc w:val="center"/>
            </w:pPr>
            <w:r>
              <w:t>Профессиональные компетенции, соответствующие видам профессиональной деятельности</w:t>
            </w:r>
          </w:p>
        </w:tc>
      </w:tr>
      <w:tr w:rsidR="00CB4620">
        <w:tc>
          <w:tcPr>
            <w:tcW w:w="3741" w:type="dxa"/>
          </w:tcPr>
          <w:p w:rsidR="00CB4620" w:rsidRDefault="00CB4620">
            <w:pPr>
              <w:pStyle w:val="ConsPlusNormal"/>
            </w:pPr>
            <w:r>
              <w:t>выполнение работ по ремонту, монтажу и эксплуатации систем водоснабжения, водоотведения и отопления систем жилищно-коммунального хозяйства</w:t>
            </w:r>
          </w:p>
        </w:tc>
        <w:tc>
          <w:tcPr>
            <w:tcW w:w="5329" w:type="dxa"/>
          </w:tcPr>
          <w:p w:rsidR="00CB4620" w:rsidRDefault="00CB4620">
            <w:pPr>
              <w:pStyle w:val="ConsPlusNormal"/>
              <w:jc w:val="both"/>
            </w:pPr>
            <w:r>
              <w:t>ПК 1.1. Выполнять ремонт и монтаж систем водоснабжения, водоотведения и отопления.</w:t>
            </w:r>
          </w:p>
          <w:p w:rsidR="00CB4620" w:rsidRDefault="00CB4620">
            <w:pPr>
              <w:pStyle w:val="ConsPlusNormal"/>
              <w:jc w:val="both"/>
            </w:pPr>
            <w:r>
              <w:t>ПК 1.2. Выполнять эксплуатацию системы водоснабжения, водоотведения и отопления.</w:t>
            </w:r>
          </w:p>
        </w:tc>
      </w:tr>
      <w:tr w:rsidR="00CB4620">
        <w:tc>
          <w:tcPr>
            <w:tcW w:w="3741" w:type="dxa"/>
          </w:tcPr>
          <w:p w:rsidR="00CB4620" w:rsidRDefault="00CB4620">
            <w:pPr>
              <w:pStyle w:val="ConsPlusNormal"/>
            </w:pPr>
            <w:r>
              <w:t>выполнение сварочных работ при ремонте оборудования систем отопления водоснабжения и водоотведения (по выбору)</w:t>
            </w:r>
          </w:p>
        </w:tc>
        <w:tc>
          <w:tcPr>
            <w:tcW w:w="5329" w:type="dxa"/>
          </w:tcPr>
          <w:p w:rsidR="00CB4620" w:rsidRDefault="00CB4620">
            <w:pPr>
              <w:pStyle w:val="ConsPlusNormal"/>
              <w:jc w:val="both"/>
            </w:pPr>
            <w:r>
              <w:t>ПК 2.1. Выполнять подготовительные работы для сварочных работ.</w:t>
            </w:r>
          </w:p>
          <w:p w:rsidR="00CB4620" w:rsidRDefault="00CB4620">
            <w:pPr>
              <w:pStyle w:val="ConsPlusNormal"/>
              <w:jc w:val="both"/>
            </w:pPr>
            <w:r>
              <w:t>ПК 2.2. Выполнять подготовку сварочного оборудования для различных способов сварки.</w:t>
            </w:r>
          </w:p>
          <w:p w:rsidR="00CB4620" w:rsidRDefault="00CB4620">
            <w:pPr>
              <w:pStyle w:val="ConsPlusNormal"/>
              <w:jc w:val="both"/>
            </w:pPr>
            <w:r>
              <w:t>ПК 2.3. Выполнять сварочные работы.</w:t>
            </w:r>
          </w:p>
        </w:tc>
      </w:tr>
      <w:tr w:rsidR="00CB4620">
        <w:tc>
          <w:tcPr>
            <w:tcW w:w="3741" w:type="dxa"/>
          </w:tcPr>
          <w:p w:rsidR="00CB4620" w:rsidRDefault="00CB4620">
            <w:pPr>
              <w:pStyle w:val="ConsPlusNormal"/>
            </w:pPr>
            <w:r>
              <w:t>поддержание в рабочем состоянии силовых и слаботочных систем зданий и сооружений, системы освещения и осветительных сетей объектов жилищно-коммунального хозяйства (по выбору)</w:t>
            </w:r>
          </w:p>
        </w:tc>
        <w:tc>
          <w:tcPr>
            <w:tcW w:w="5329" w:type="dxa"/>
          </w:tcPr>
          <w:p w:rsidR="00CB4620" w:rsidRDefault="00CB4620">
            <w:pPr>
              <w:pStyle w:val="ConsPlusNormal"/>
              <w:jc w:val="both"/>
            </w:pPr>
            <w:r>
              <w:t>ПК 2.1. Выполнять ремонт и монтаж силовых и слаботочных систем зданий и сооружений, системы освещения и осветительных сетей.</w:t>
            </w:r>
          </w:p>
          <w:p w:rsidR="00CB4620" w:rsidRDefault="00CB4620">
            <w:pPr>
              <w:pStyle w:val="ConsPlusNormal"/>
              <w:jc w:val="both"/>
            </w:pPr>
            <w:r>
              <w:t>ПК 2.2. Выполнять эксплуатацию силовых и слаботочных систем зданий и сооружений, системы освещения и осветительных сетей.</w:t>
            </w:r>
          </w:p>
        </w:tc>
      </w:tr>
    </w:tbl>
    <w:p w:rsidR="00CB4620" w:rsidRDefault="00CB4620">
      <w:pPr>
        <w:pStyle w:val="ConsPlusNormal"/>
        <w:jc w:val="both"/>
      </w:pPr>
    </w:p>
    <w:p w:rsidR="00CB4620" w:rsidRDefault="00CB4620">
      <w:pPr>
        <w:pStyle w:val="ConsPlusNormal"/>
        <w:jc w:val="both"/>
      </w:pPr>
      <w:r>
        <w:t xml:space="preserve">(п. 3.3 в ред. </w:t>
      </w:r>
      <w:hyperlink r:id="rId3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2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Образовательная организация при необходимости вводит в вариативную часть учебных </w:t>
      </w:r>
      <w:r>
        <w:lastRenderedPageBreak/>
        <w:t>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CB4620" w:rsidRDefault="00CB4620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дополнительно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3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CB4620" w:rsidRDefault="00CB4620">
      <w:pPr>
        <w:pStyle w:val="ConsPlusNormal"/>
        <w:jc w:val="center"/>
      </w:pPr>
    </w:p>
    <w:p w:rsidR="00CB4620" w:rsidRDefault="00CB4620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CB4620" w:rsidRDefault="00CB4620">
      <w:pPr>
        <w:pStyle w:val="ConsPlusTitle"/>
        <w:jc w:val="center"/>
      </w:pPr>
      <w:r>
        <w:t>ОБРАЗОВАТЕЛЬНОЙ ПРОГРАММЫ</w:t>
      </w:r>
    </w:p>
    <w:p w:rsidR="00CB4620" w:rsidRDefault="00CB4620">
      <w:pPr>
        <w:pStyle w:val="ConsPlusNormal"/>
        <w:jc w:val="center"/>
      </w:pPr>
    </w:p>
    <w:p w:rsidR="00CB4620" w:rsidRDefault="00CB4620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34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2022, N 45, ст. 7674); санитарные </w:t>
      </w:r>
      <w:hyperlink r:id="rId35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 до 1 января 2027 г.; санитарно-эпидемиологические </w:t>
      </w:r>
      <w:hyperlink r:id="rId36">
        <w:r>
          <w:rPr>
            <w:color w:val="0000FF"/>
          </w:rPr>
          <w:t>правила и нормы</w:t>
        </w:r>
      </w:hyperlink>
      <w:r>
        <w:t xml:space="preserve">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г.; санитарные </w:t>
      </w:r>
      <w:hyperlink r:id="rId37">
        <w:r>
          <w:rPr>
            <w:color w:val="0000FF"/>
          </w:rPr>
          <w:t>правила и нормы</w:t>
        </w:r>
      </w:hyperlink>
      <w: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года.</w:t>
      </w:r>
    </w:p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CB4620" w:rsidRDefault="00CB4620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CB4620" w:rsidRDefault="00CB4620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</w:t>
      </w:r>
      <w:r>
        <w:lastRenderedPageBreak/>
        <w:t>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государственной итоговой аттестации;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CB4620" w:rsidRDefault="00CB4620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9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9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9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&lt;9&gt;.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42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2022, N 45, ст. 7677).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 xml:space="preserve">&lt;9&gt; Собрание законодательства Российской Федерации, 2012, N 53, ст. 7598; 2022, N 41, ст. </w:t>
      </w:r>
      <w:r>
        <w:lastRenderedPageBreak/>
        <w:t>6959.</w:t>
      </w:r>
    </w:p>
    <w:p w:rsidR="00CB4620" w:rsidRDefault="00CB4620">
      <w:pPr>
        <w:pStyle w:val="ConsPlusNormal"/>
        <w:ind w:firstLine="540"/>
        <w:jc w:val="both"/>
      </w:pPr>
    </w:p>
    <w:p w:rsidR="00CB4620" w:rsidRDefault="00CB4620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CB4620" w:rsidRDefault="00CB4620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CB4620" w:rsidRDefault="00CB4620">
      <w:pPr>
        <w:pStyle w:val="ConsPlusNormal"/>
        <w:jc w:val="both"/>
      </w:pPr>
      <w:r>
        <w:t xml:space="preserve">(пп. "в" в ред. </w:t>
      </w:r>
      <w:hyperlink r:id="rId4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CB4620" w:rsidRDefault="00CB4620">
      <w:pPr>
        <w:pStyle w:val="ConsPlusNormal"/>
        <w:jc w:val="both"/>
      </w:pPr>
    </w:p>
    <w:p w:rsidR="00CB4620" w:rsidRDefault="00CB4620">
      <w:pPr>
        <w:pStyle w:val="ConsPlusNormal"/>
        <w:jc w:val="both"/>
      </w:pPr>
    </w:p>
    <w:p w:rsidR="00CB4620" w:rsidRDefault="00CB46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5BE1" w:rsidRDefault="00035BE1">
      <w:bookmarkStart w:id="6" w:name="_GoBack"/>
      <w:bookmarkEnd w:id="6"/>
    </w:p>
    <w:sectPr w:rsidR="00035BE1" w:rsidSect="005E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20"/>
    <w:rsid w:val="00035BE1"/>
    <w:rsid w:val="00CB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96B25-0D95-441C-BC04-D331AFD9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4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46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5036&amp;dst=100010" TargetMode="External"/><Relationship Id="rId13" Type="http://schemas.openxmlformats.org/officeDocument/2006/relationships/hyperlink" Target="https://login.consultant.ru/link/?req=doc&amp;base=LAW&amp;n=377712&amp;dst=100065" TargetMode="External"/><Relationship Id="rId18" Type="http://schemas.openxmlformats.org/officeDocument/2006/relationships/hyperlink" Target="https://login.consultant.ru/link/?req=doc&amp;base=LAW&amp;n=501142&amp;dst=4" TargetMode="External"/><Relationship Id="rId26" Type="http://schemas.openxmlformats.org/officeDocument/2006/relationships/hyperlink" Target="https://login.consultant.ru/link/?req=doc&amp;base=LAW&amp;n=501142&amp;dst=4" TargetMode="External"/><Relationship Id="rId39" Type="http://schemas.openxmlformats.org/officeDocument/2006/relationships/hyperlink" Target="https://login.consultant.ru/link/?req=doc&amp;base=LAW&amp;n=483090&amp;dst=11315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0818&amp;dst=446" TargetMode="External"/><Relationship Id="rId34" Type="http://schemas.openxmlformats.org/officeDocument/2006/relationships/hyperlink" Target="https://login.consultant.ru/link/?req=doc&amp;base=LAW&amp;n=499496" TargetMode="External"/><Relationship Id="rId42" Type="http://schemas.openxmlformats.org/officeDocument/2006/relationships/hyperlink" Target="https://login.consultant.ru/link/?req=doc&amp;base=LAW&amp;n=495710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294356&amp;dst=100013" TargetMode="External"/><Relationship Id="rId17" Type="http://schemas.openxmlformats.org/officeDocument/2006/relationships/hyperlink" Target="https://login.consultant.ru/link/?req=doc&amp;base=LAW&amp;n=483090&amp;dst=113131" TargetMode="External"/><Relationship Id="rId25" Type="http://schemas.openxmlformats.org/officeDocument/2006/relationships/hyperlink" Target="https://login.consultant.ru/link/?req=doc&amp;base=LAW&amp;n=483090&amp;dst=113134" TargetMode="External"/><Relationship Id="rId33" Type="http://schemas.openxmlformats.org/officeDocument/2006/relationships/hyperlink" Target="https://login.consultant.ru/link/?req=doc&amp;base=LAW&amp;n=510818&amp;dst=415" TargetMode="External"/><Relationship Id="rId38" Type="http://schemas.openxmlformats.org/officeDocument/2006/relationships/hyperlink" Target="https://login.consultant.ru/link/?req=doc&amp;base=LAW&amp;n=483090&amp;dst=1131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142&amp;dst=4" TargetMode="External"/><Relationship Id="rId20" Type="http://schemas.openxmlformats.org/officeDocument/2006/relationships/hyperlink" Target="https://login.consultant.ru/link/?req=doc&amp;base=LAW&amp;n=483090&amp;dst=113133" TargetMode="External"/><Relationship Id="rId29" Type="http://schemas.openxmlformats.org/officeDocument/2006/relationships/hyperlink" Target="https://login.consultant.ru/link/?req=doc&amp;base=LAW&amp;n=483090&amp;dst=113138" TargetMode="External"/><Relationship Id="rId41" Type="http://schemas.openxmlformats.org/officeDocument/2006/relationships/hyperlink" Target="https://login.consultant.ru/link/?req=doc&amp;base=LAW&amp;n=5108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377712&amp;dst=100053" TargetMode="External"/><Relationship Id="rId24" Type="http://schemas.openxmlformats.org/officeDocument/2006/relationships/hyperlink" Target="https://login.consultant.ru/link/?req=doc&amp;base=LAW&amp;n=214720&amp;dst=100047" TargetMode="External"/><Relationship Id="rId32" Type="http://schemas.openxmlformats.org/officeDocument/2006/relationships/hyperlink" Target="https://login.consultant.ru/link/?req=doc&amp;base=LAW&amp;n=483090&amp;dst=113152" TargetMode="External"/><Relationship Id="rId37" Type="http://schemas.openxmlformats.org/officeDocument/2006/relationships/hyperlink" Target="https://login.consultant.ru/link/?req=doc&amp;base=LAW&amp;n=522971&amp;dst=100137" TargetMode="External"/><Relationship Id="rId40" Type="http://schemas.openxmlformats.org/officeDocument/2006/relationships/hyperlink" Target="https://login.consultant.ru/link/?req=doc&amp;base=LAW&amp;n=483090&amp;dst=113156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3090&amp;dst=113130" TargetMode="External"/><Relationship Id="rId15" Type="http://schemas.openxmlformats.org/officeDocument/2006/relationships/hyperlink" Target="https://login.consultant.ru/link/?req=doc&amp;base=LAW&amp;n=516823&amp;dst=100022" TargetMode="External"/><Relationship Id="rId23" Type="http://schemas.openxmlformats.org/officeDocument/2006/relationships/hyperlink" Target="https://login.consultant.ru/link/?req=doc&amp;base=LAW&amp;n=214720&amp;dst=100080" TargetMode="External"/><Relationship Id="rId28" Type="http://schemas.openxmlformats.org/officeDocument/2006/relationships/hyperlink" Target="https://login.consultant.ru/link/?req=doc&amp;base=LAW&amp;n=483090&amp;dst=113137" TargetMode="External"/><Relationship Id="rId36" Type="http://schemas.openxmlformats.org/officeDocument/2006/relationships/hyperlink" Target="https://login.consultant.ru/link/?req=doc&amp;base=LAW&amp;n=494597&amp;dst=100037" TargetMode="External"/><Relationship Id="rId10" Type="http://schemas.openxmlformats.org/officeDocument/2006/relationships/hyperlink" Target="https://login.consultant.ru/link/?req=doc&amp;base=LAW&amp;n=294264&amp;dst=100013" TargetMode="External"/><Relationship Id="rId19" Type="http://schemas.openxmlformats.org/officeDocument/2006/relationships/hyperlink" Target="https://login.consultant.ru/link/?req=doc&amp;base=LAW&amp;n=483090&amp;dst=113132" TargetMode="External"/><Relationship Id="rId31" Type="http://schemas.openxmlformats.org/officeDocument/2006/relationships/hyperlink" Target="https://login.consultant.ru/link/?req=doc&amp;base=LAW&amp;n=483090&amp;dst=113140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7712&amp;dst=52" TargetMode="External"/><Relationship Id="rId14" Type="http://schemas.openxmlformats.org/officeDocument/2006/relationships/hyperlink" Target="https://login.consultant.ru/link/?req=doc&amp;base=LAW&amp;n=483090&amp;dst=113130" TargetMode="External"/><Relationship Id="rId22" Type="http://schemas.openxmlformats.org/officeDocument/2006/relationships/hyperlink" Target="https://login.consultant.ru/link/?req=doc&amp;base=LAW&amp;n=510818&amp;dst=100249" TargetMode="External"/><Relationship Id="rId27" Type="http://schemas.openxmlformats.org/officeDocument/2006/relationships/hyperlink" Target="https://login.consultant.ru/link/?req=doc&amp;base=LAW&amp;n=483090&amp;dst=113136" TargetMode="External"/><Relationship Id="rId30" Type="http://schemas.openxmlformats.org/officeDocument/2006/relationships/hyperlink" Target="https://login.consultant.ru/link/?req=doc&amp;base=LAW&amp;n=483090&amp;dst=113139" TargetMode="External"/><Relationship Id="rId35" Type="http://schemas.openxmlformats.org/officeDocument/2006/relationships/hyperlink" Target="https://login.consultant.ru/link/?req=doc&amp;base=LAW&amp;n=522968&amp;dst=100047" TargetMode="External"/><Relationship Id="rId43" Type="http://schemas.openxmlformats.org/officeDocument/2006/relationships/hyperlink" Target="https://login.consultant.ru/link/?req=doc&amp;base=LAW&amp;n=483090&amp;dst=113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5381</Words>
  <Characters>30676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2026-02-27T07:43:00Z</dcterms:created>
  <dcterms:modified xsi:type="dcterms:W3CDTF">2026-02-27T07:43:00Z</dcterms:modified>
</cp:coreProperties>
</file>