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63" w:rsidRDefault="000424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2463" w:rsidRDefault="00042463">
      <w:pPr>
        <w:pStyle w:val="ConsPlusNormal"/>
        <w:jc w:val="both"/>
        <w:outlineLvl w:val="0"/>
      </w:pPr>
    </w:p>
    <w:p w:rsidR="00042463" w:rsidRDefault="00042463">
      <w:pPr>
        <w:pStyle w:val="ConsPlusNormal"/>
        <w:jc w:val="both"/>
        <w:outlineLvl w:val="0"/>
      </w:pPr>
      <w:r>
        <w:t>Зарегистрировано в Минюсте России 5 июня 2023 г. N 73728</w:t>
      </w:r>
    </w:p>
    <w:p w:rsidR="00042463" w:rsidRDefault="000424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jc w:val="center"/>
      </w:pPr>
      <w:r>
        <w:t>МИНИСТЕРСТВО ПРОСВЕЩЕНИЯ РОССИЙСКОЙ ФЕДЕРАЦИИ</w:t>
      </w:r>
    </w:p>
    <w:p w:rsidR="00042463" w:rsidRDefault="00042463">
      <w:pPr>
        <w:pStyle w:val="ConsPlusTitle"/>
        <w:jc w:val="both"/>
      </w:pPr>
    </w:p>
    <w:p w:rsidR="00042463" w:rsidRDefault="00042463">
      <w:pPr>
        <w:pStyle w:val="ConsPlusTitle"/>
        <w:jc w:val="center"/>
      </w:pPr>
      <w:r>
        <w:t>ПРИКАЗ</w:t>
      </w:r>
    </w:p>
    <w:p w:rsidR="00042463" w:rsidRDefault="00042463">
      <w:pPr>
        <w:pStyle w:val="ConsPlusTitle"/>
        <w:jc w:val="center"/>
      </w:pPr>
      <w:r>
        <w:t>от 28 апреля 2023 г. N 316</w:t>
      </w:r>
    </w:p>
    <w:p w:rsidR="00042463" w:rsidRDefault="00042463">
      <w:pPr>
        <w:pStyle w:val="ConsPlusTitle"/>
        <w:jc w:val="both"/>
      </w:pPr>
    </w:p>
    <w:p w:rsidR="00042463" w:rsidRDefault="00042463">
      <w:pPr>
        <w:pStyle w:val="ConsPlusTitle"/>
        <w:jc w:val="center"/>
      </w:pPr>
      <w:r>
        <w:t>ОБ УТВЕРЖДЕНИИ</w:t>
      </w:r>
    </w:p>
    <w:p w:rsidR="00042463" w:rsidRDefault="0004246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42463" w:rsidRDefault="0004246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42463" w:rsidRDefault="00042463">
      <w:pPr>
        <w:pStyle w:val="ConsPlusTitle"/>
        <w:jc w:val="center"/>
      </w:pPr>
      <w:r>
        <w:t>13.01.10 ЭЛЕКТРОМОНТЕР ПО РЕМОНТУ И ОБСЛУЖИВАНИЮ</w:t>
      </w:r>
    </w:p>
    <w:p w:rsidR="00042463" w:rsidRDefault="00042463">
      <w:pPr>
        <w:pStyle w:val="ConsPlusTitle"/>
        <w:jc w:val="center"/>
      </w:pPr>
      <w:r>
        <w:t>ЭЛЕКТРООБОРУДОВАНИЯ (ПО ОТРАСЛЯМ)</w:t>
      </w:r>
    </w:p>
    <w:p w:rsidR="00042463" w:rsidRDefault="000424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24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463" w:rsidRDefault="000424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463" w:rsidRDefault="000424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463" w:rsidRDefault="000424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463" w:rsidRDefault="000424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463" w:rsidRDefault="00042463">
            <w:pPr>
              <w:pStyle w:val="ConsPlusNormal"/>
            </w:pPr>
          </w:p>
        </w:tc>
      </w:tr>
    </w:tbl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13.01.10 Электромонтер по ремонту и обслуживанию электрооборудования (по отраслям) (далее - стандарт).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140446.03</w:t>
        </w:r>
      </w:hyperlink>
      <w:r>
        <w:t xml:space="preserve"> Электромонтер по ремонту и обслуживанию электрооборудования (по отраслям), утвержденным приказом Министерства образования и науки Российской Федерации от 2 августа 2013 г. N 802 (зарегистрирован Министерством юстиции Российской Федерации 20 августа 2013 г., регистрационный N 29611), с изменениями, внесенными приказами Министерства образования и науки Российской Федерации от 22 августа 2014 г. N 1039 (зарегистрирован Министерством юстиции Российской Федерации 17 сентября 2014 г., регистрационный N 34070), от 17 марта 2015 г. N 247 (зарегистрирован Министерством юстиции Российской Федерации 2 апреля 2015 г., регистрационный N 36713)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right"/>
      </w:pPr>
      <w:r>
        <w:t>Исполняющий обязанности Министра</w:t>
      </w:r>
    </w:p>
    <w:p w:rsidR="00042463" w:rsidRDefault="00042463">
      <w:pPr>
        <w:pStyle w:val="ConsPlusNormal"/>
        <w:jc w:val="right"/>
      </w:pPr>
      <w:r>
        <w:t>А.В.НИКОЛАЕВ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right"/>
        <w:outlineLvl w:val="0"/>
      </w:pPr>
      <w:r>
        <w:t>Утвержден</w:t>
      </w:r>
    </w:p>
    <w:p w:rsidR="00042463" w:rsidRDefault="00042463">
      <w:pPr>
        <w:pStyle w:val="ConsPlusNormal"/>
        <w:jc w:val="right"/>
      </w:pPr>
      <w:r>
        <w:t>приказом Министерства просвещения</w:t>
      </w:r>
    </w:p>
    <w:p w:rsidR="00042463" w:rsidRDefault="00042463">
      <w:pPr>
        <w:pStyle w:val="ConsPlusNormal"/>
        <w:jc w:val="right"/>
      </w:pPr>
      <w:r>
        <w:t>Российской Федерации</w:t>
      </w:r>
    </w:p>
    <w:p w:rsidR="00042463" w:rsidRDefault="00042463">
      <w:pPr>
        <w:pStyle w:val="ConsPlusNormal"/>
        <w:jc w:val="right"/>
      </w:pPr>
      <w:r>
        <w:t>от 28 апреля 2023 г. N 316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42463" w:rsidRDefault="0004246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42463" w:rsidRDefault="00042463">
      <w:pPr>
        <w:pStyle w:val="ConsPlusTitle"/>
        <w:jc w:val="center"/>
      </w:pPr>
      <w:r>
        <w:t>13.01.10 ЭЛЕКТРОМОНТЕР ПО РЕМОНТУ И ОБСЛУЖИВАНИЮ</w:t>
      </w:r>
    </w:p>
    <w:p w:rsidR="00042463" w:rsidRDefault="00042463">
      <w:pPr>
        <w:pStyle w:val="ConsPlusTitle"/>
        <w:jc w:val="center"/>
      </w:pPr>
      <w:r>
        <w:t>ЭЛЕКТРООБОРУДОВАНИЯ (ПО ОТРАСЛЯМ)</w:t>
      </w:r>
    </w:p>
    <w:p w:rsidR="00042463" w:rsidRDefault="000424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24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463" w:rsidRDefault="000424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463" w:rsidRDefault="000424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463" w:rsidRDefault="000424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463" w:rsidRDefault="000424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463" w:rsidRDefault="00042463">
            <w:pPr>
              <w:pStyle w:val="ConsPlusNormal"/>
            </w:pPr>
          </w:p>
        </w:tc>
      </w:tr>
    </w:tbl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jc w:val="center"/>
        <w:outlineLvl w:val="1"/>
      </w:pPr>
      <w:r>
        <w:t>I. ОБЩИЕ ПОЛОЖЕНИЯ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bookmarkStart w:id="1" w:name="P44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13.01.10 Электромонтер по ремонту и обслуживанию электрооборудования (по отраслям) (далее соответственно - ФГОС СПО, образовательная программа, профессия) в соответствии с квалификацией квалифицированного рабочего, служащего "электромонтер по ремонту и обслуживанию электрооборудования" &lt;1&gt;.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042463" w:rsidRDefault="0004246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27.03.2025 N 239)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</w:t>
      </w:r>
      <w:r>
        <w:lastRenderedPageBreak/>
        <w:t>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bookmarkStart w:id="2" w:name="P67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lastRenderedPageBreak/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17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042463" w:rsidRDefault="00042463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Минпросвещения России от 27.03.2025 N 239)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42463" w:rsidRDefault="00042463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20">
        <w:r>
          <w:rPr>
            <w:color w:val="0000FF"/>
          </w:rPr>
          <w:t>17</w:t>
        </w:r>
      </w:hyperlink>
      <w:r>
        <w:t xml:space="preserve"> Транспорт, </w:t>
      </w:r>
      <w:hyperlink r:id="rId21">
        <w:r>
          <w:rPr>
            <w:color w:val="0000FF"/>
          </w:rPr>
          <w:t>20</w:t>
        </w:r>
      </w:hyperlink>
      <w:r>
        <w:t xml:space="preserve"> Электроэнергетика, </w:t>
      </w:r>
      <w:hyperlink r:id="rId22">
        <w:r>
          <w:rPr>
            <w:color w:val="0000FF"/>
          </w:rPr>
          <w:t>24</w:t>
        </w:r>
      </w:hyperlink>
      <w:r>
        <w:t xml:space="preserve"> Атомная промышленность, </w:t>
      </w:r>
      <w:hyperlink r:id="rId23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3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lastRenderedPageBreak/>
        <w:t>дисциплины (модули);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практику;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right"/>
      </w:pPr>
      <w:r>
        <w:t>Таблица N 1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center"/>
      </w:pPr>
      <w:bookmarkStart w:id="4" w:name="P93"/>
      <w:bookmarkEnd w:id="4"/>
      <w:r>
        <w:t>Структура и объем образовательной программы</w:t>
      </w:r>
    </w:p>
    <w:p w:rsidR="00042463" w:rsidRDefault="000424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042463">
        <w:tc>
          <w:tcPr>
            <w:tcW w:w="4422" w:type="dxa"/>
          </w:tcPr>
          <w:p w:rsidR="00042463" w:rsidRDefault="0004246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042463" w:rsidRDefault="0004246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42463">
        <w:tc>
          <w:tcPr>
            <w:tcW w:w="4422" w:type="dxa"/>
            <w:vAlign w:val="bottom"/>
          </w:tcPr>
          <w:p w:rsidR="00042463" w:rsidRDefault="0004246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  <w:vAlign w:val="bottom"/>
          </w:tcPr>
          <w:p w:rsidR="00042463" w:rsidRDefault="00042463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042463">
        <w:tc>
          <w:tcPr>
            <w:tcW w:w="4422" w:type="dxa"/>
            <w:vAlign w:val="bottom"/>
          </w:tcPr>
          <w:p w:rsidR="00042463" w:rsidRDefault="00042463">
            <w:pPr>
              <w:pStyle w:val="ConsPlusNormal"/>
            </w:pPr>
            <w:r>
              <w:t>Практика</w:t>
            </w:r>
          </w:p>
        </w:tc>
        <w:tc>
          <w:tcPr>
            <w:tcW w:w="4648" w:type="dxa"/>
            <w:vAlign w:val="bottom"/>
          </w:tcPr>
          <w:p w:rsidR="00042463" w:rsidRDefault="00042463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042463">
        <w:tc>
          <w:tcPr>
            <w:tcW w:w="4422" w:type="dxa"/>
            <w:vAlign w:val="bottom"/>
          </w:tcPr>
          <w:p w:rsidR="00042463" w:rsidRDefault="0004246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  <w:vAlign w:val="bottom"/>
          </w:tcPr>
          <w:p w:rsidR="00042463" w:rsidRDefault="00042463">
            <w:pPr>
              <w:pStyle w:val="ConsPlusNormal"/>
              <w:jc w:val="center"/>
            </w:pPr>
            <w:r>
              <w:t>36</w:t>
            </w:r>
          </w:p>
        </w:tc>
      </w:tr>
      <w:tr w:rsidR="00042463">
        <w:tc>
          <w:tcPr>
            <w:tcW w:w="9070" w:type="dxa"/>
            <w:gridSpan w:val="2"/>
            <w:vAlign w:val="bottom"/>
          </w:tcPr>
          <w:p w:rsidR="00042463" w:rsidRDefault="0004246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42463">
        <w:tc>
          <w:tcPr>
            <w:tcW w:w="4422" w:type="dxa"/>
            <w:vAlign w:val="bottom"/>
          </w:tcPr>
          <w:p w:rsidR="00042463" w:rsidRDefault="0004246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  <w:vAlign w:val="bottom"/>
          </w:tcPr>
          <w:p w:rsidR="00042463" w:rsidRDefault="00042463">
            <w:pPr>
              <w:pStyle w:val="ConsPlusNormal"/>
              <w:jc w:val="center"/>
            </w:pPr>
            <w:r>
              <w:t>1476</w:t>
            </w:r>
          </w:p>
        </w:tc>
      </w:tr>
      <w:tr w:rsidR="00042463">
        <w:tc>
          <w:tcPr>
            <w:tcW w:w="4422" w:type="dxa"/>
            <w:vAlign w:val="bottom"/>
          </w:tcPr>
          <w:p w:rsidR="00042463" w:rsidRDefault="00042463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5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648" w:type="dxa"/>
          </w:tcPr>
          <w:p w:rsidR="00042463" w:rsidRDefault="00042463">
            <w:pPr>
              <w:pStyle w:val="ConsPlusNormal"/>
              <w:jc w:val="center"/>
            </w:pPr>
            <w:r>
              <w:t>2952</w:t>
            </w:r>
          </w:p>
        </w:tc>
      </w:tr>
    </w:tbl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42463" w:rsidRDefault="00042463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2.4. Образовательная программа разрабатывается образовательной организацией в соответствии с ФГОС СПО с учетом соответствующей ПОП и предполагает освоение следующих видов деятельности: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выполнение монтажа и наладки устройств электроснабжения и электрооборудования (по отраслям);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выполнение технического обслуживания устройств электроснабжения и электрооборудования (по отраслям);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выполнение ремонта и работ по предупреждению аварий и неполадок устройств электроснабжения и электрооборудования (по отраслям).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8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"Техническое черчение и чтение чертежей", "Электротехника с основами электроники", "Основы технической механики", </w:t>
      </w:r>
      <w:r>
        <w:lastRenderedPageBreak/>
        <w:t>"Электроматериаловедение", "Охрана труда", "Электробезопасность", "Электрические машины, электропривод и системы управления электроснабжением".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лиц,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jc w:val="center"/>
        <w:outlineLvl w:val="1"/>
      </w:pPr>
      <w:bookmarkStart w:id="6" w:name="P137"/>
      <w:bookmarkEnd w:id="6"/>
      <w:r>
        <w:t>III. ТРЕБОВАНИЯ К РЕЗУЛЬТАТАМ ОСВОЕНИЯ</w:t>
      </w:r>
    </w:p>
    <w:p w:rsidR="00042463" w:rsidRDefault="00042463">
      <w:pPr>
        <w:pStyle w:val="ConsPlusTitle"/>
        <w:jc w:val="center"/>
      </w:pPr>
      <w:r>
        <w:t>ОБРАЗОВАТЕЛЬНОЙ ПРОГРАММЫ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r>
        <w:lastRenderedPageBreak/>
        <w:t>антикоррупционного поведения;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right"/>
      </w:pPr>
      <w:r>
        <w:t>Таблица N 2</w:t>
      </w:r>
    </w:p>
    <w:p w:rsidR="00042463" w:rsidRDefault="000424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6462"/>
      </w:tblGrid>
      <w:tr w:rsidR="00042463">
        <w:tc>
          <w:tcPr>
            <w:tcW w:w="2607" w:type="dxa"/>
          </w:tcPr>
          <w:p w:rsidR="00042463" w:rsidRDefault="0004246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042463" w:rsidRDefault="0004246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42463">
        <w:tc>
          <w:tcPr>
            <w:tcW w:w="2607" w:type="dxa"/>
          </w:tcPr>
          <w:p w:rsidR="00042463" w:rsidRDefault="000424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2" w:type="dxa"/>
          </w:tcPr>
          <w:p w:rsidR="00042463" w:rsidRDefault="00042463">
            <w:pPr>
              <w:pStyle w:val="ConsPlusNormal"/>
              <w:jc w:val="center"/>
            </w:pPr>
            <w:r>
              <w:t>2</w:t>
            </w:r>
          </w:p>
        </w:tc>
      </w:tr>
      <w:tr w:rsidR="00042463">
        <w:tc>
          <w:tcPr>
            <w:tcW w:w="2607" w:type="dxa"/>
          </w:tcPr>
          <w:p w:rsidR="00042463" w:rsidRDefault="00042463">
            <w:pPr>
              <w:pStyle w:val="ConsPlusNormal"/>
            </w:pPr>
            <w:r>
              <w:t>выполнение монтажа и наладки устройств электроснабжения и электрооборудования (по отраслям)</w:t>
            </w:r>
          </w:p>
        </w:tc>
        <w:tc>
          <w:tcPr>
            <w:tcW w:w="6462" w:type="dxa"/>
          </w:tcPr>
          <w:p w:rsidR="00042463" w:rsidRDefault="00042463">
            <w:pPr>
              <w:pStyle w:val="ConsPlusNormal"/>
              <w:jc w:val="both"/>
            </w:pPr>
            <w:r>
              <w:t>ПК 1.1. 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электрооборудования.</w:t>
            </w:r>
          </w:p>
          <w:p w:rsidR="00042463" w:rsidRDefault="00042463">
            <w:pPr>
              <w:pStyle w:val="ConsPlusNormal"/>
              <w:jc w:val="both"/>
            </w:pPr>
            <w:r>
              <w:t>ПК 1.2. Выполнять монтаж электрических сетей.</w:t>
            </w:r>
          </w:p>
          <w:p w:rsidR="00042463" w:rsidRDefault="00042463">
            <w:pPr>
              <w:pStyle w:val="ConsPlusNormal"/>
              <w:jc w:val="both"/>
            </w:pPr>
            <w:r>
              <w:t>ПК 1.3. Принимать в эксплуатацию электрические аппараты, электрические машины, электрооборудование трансформаторных подстанций и цеховое электрооборудование.</w:t>
            </w:r>
          </w:p>
          <w:p w:rsidR="00042463" w:rsidRDefault="00042463">
            <w:pPr>
              <w:pStyle w:val="ConsPlusNormal"/>
              <w:jc w:val="both"/>
            </w:pPr>
            <w:r>
              <w:t>ПК 1.4. Производить оперативные переключения и испытания устройств электроснабжения и электрооборудования.</w:t>
            </w:r>
          </w:p>
        </w:tc>
      </w:tr>
      <w:tr w:rsidR="00042463">
        <w:tc>
          <w:tcPr>
            <w:tcW w:w="2607" w:type="dxa"/>
          </w:tcPr>
          <w:p w:rsidR="00042463" w:rsidRDefault="00042463">
            <w:pPr>
              <w:pStyle w:val="ConsPlusNormal"/>
            </w:pPr>
            <w: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6462" w:type="dxa"/>
          </w:tcPr>
          <w:p w:rsidR="00042463" w:rsidRDefault="00042463">
            <w:pPr>
              <w:pStyle w:val="ConsPlusNormal"/>
              <w:jc w:val="both"/>
            </w:pPr>
            <w:r>
              <w:t>ПК 2.1. 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042463" w:rsidRDefault="00042463">
            <w:pPr>
              <w:pStyle w:val="ConsPlusNormal"/>
              <w:jc w:val="both"/>
            </w:pPr>
            <w:r>
              <w:t>ПК 2.2.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обслуживания.</w:t>
            </w:r>
          </w:p>
          <w:p w:rsidR="00042463" w:rsidRDefault="00042463">
            <w:pPr>
              <w:pStyle w:val="ConsPlusNormal"/>
              <w:jc w:val="both"/>
            </w:pPr>
            <w:r>
              <w:t>ПК 2.3. Вести учет первичных данных по техническому обслуживанию устройств электроснабжения и электрооборудования в журналах.</w:t>
            </w:r>
          </w:p>
        </w:tc>
      </w:tr>
      <w:tr w:rsidR="00042463">
        <w:tc>
          <w:tcPr>
            <w:tcW w:w="2607" w:type="dxa"/>
          </w:tcPr>
          <w:p w:rsidR="00042463" w:rsidRDefault="00042463">
            <w:pPr>
              <w:pStyle w:val="ConsPlusNormal"/>
            </w:pPr>
            <w: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6462" w:type="dxa"/>
            <w:vAlign w:val="center"/>
          </w:tcPr>
          <w:p w:rsidR="00042463" w:rsidRDefault="00042463">
            <w:pPr>
              <w:pStyle w:val="ConsPlusNormal"/>
              <w:jc w:val="both"/>
            </w:pPr>
            <w:r>
              <w:t>ПК 3.1. 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042463" w:rsidRDefault="00042463">
            <w:pPr>
              <w:pStyle w:val="ConsPlusNormal"/>
              <w:jc w:val="both"/>
            </w:pPr>
            <w:r>
              <w:t>ПК 3.2. Выполнять работы по ремонту и замене устройств электроснабжения и электрооборудования.</w:t>
            </w:r>
          </w:p>
          <w:p w:rsidR="00042463" w:rsidRDefault="00042463">
            <w:pPr>
              <w:pStyle w:val="ConsPlusNormal"/>
              <w:jc w:val="both"/>
            </w:pPr>
            <w:r>
              <w:lastRenderedPageBreak/>
              <w:t>ПК 3.3. Контролировать качество выполняемых ремонтных работ устройств электроснабжения и электрооборудования.</w:t>
            </w:r>
          </w:p>
        </w:tc>
      </w:tr>
    </w:tbl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42463" w:rsidRDefault="00042463">
      <w:pPr>
        <w:pStyle w:val="ConsPlusTitle"/>
        <w:jc w:val="center"/>
      </w:pPr>
      <w:r>
        <w:t>ОБРАЗОВАТЕЛЬНОЙ ПРОГРАММЫ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</w:t>
      </w:r>
      <w:hyperlink r:id="rId28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r:id="rId29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r:id="rId30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</w:t>
      </w:r>
      <w:r>
        <w:lastRenderedPageBreak/>
        <w:t>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3 лет);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</w:t>
      </w:r>
      <w:r>
        <w:lastRenderedPageBreak/>
        <w:t xml:space="preserve">Федерации &lt;8&gt; и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32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42463" w:rsidRDefault="0004246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42463" w:rsidRDefault="00042463">
      <w:pPr>
        <w:pStyle w:val="ConsPlusNormal"/>
        <w:jc w:val="both"/>
      </w:pPr>
      <w:r>
        <w:t xml:space="preserve">(пп. "в" 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27.03.2025 N 239)</w:t>
      </w: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jc w:val="both"/>
      </w:pPr>
    </w:p>
    <w:p w:rsidR="00042463" w:rsidRDefault="000424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E4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63"/>
    <w:rsid w:val="00042463"/>
    <w:rsid w:val="004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355FE-A3CC-4680-BC4B-4BBB93A6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078&amp;dst=100012" TargetMode="External"/><Relationship Id="rId13" Type="http://schemas.openxmlformats.org/officeDocument/2006/relationships/hyperlink" Target="https://login.consultant.ru/link/?req=doc&amp;base=LAW&amp;n=504361&amp;dst=100381" TargetMode="External"/><Relationship Id="rId18" Type="http://schemas.openxmlformats.org/officeDocument/2006/relationships/hyperlink" Target="https://login.consultant.ru/link/?req=doc&amp;base=LAW&amp;n=504361&amp;dst=100382" TargetMode="External"/><Relationship Id="rId26" Type="http://schemas.openxmlformats.org/officeDocument/2006/relationships/hyperlink" Target="https://login.consultant.ru/link/?req=doc&amp;base=LAW&amp;n=510818&amp;dst=4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8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115476&amp;dst=100008" TargetMode="External"/><Relationship Id="rId25" Type="http://schemas.openxmlformats.org/officeDocument/2006/relationships/hyperlink" Target="https://login.consultant.ru/link/?req=doc&amp;base=LAW&amp;n=501142&amp;dst=4" TargetMode="External"/><Relationship Id="rId33" Type="http://schemas.openxmlformats.org/officeDocument/2006/relationships/hyperlink" Target="https://login.consultant.ru/link/?req=doc&amp;base=LAW&amp;n=504361&amp;dst=1003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100249" TargetMode="External"/><Relationship Id="rId20" Type="http://schemas.openxmlformats.org/officeDocument/2006/relationships/hyperlink" Target="https://login.consultant.ru/link/?req=doc&amp;base=LAW&amp;n=214720&amp;dst=100082" TargetMode="External"/><Relationship Id="rId29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504361&amp;dst=100380" TargetMode="External"/><Relationship Id="rId15" Type="http://schemas.openxmlformats.org/officeDocument/2006/relationships/hyperlink" Target="https://login.consultant.ru/link/?req=doc&amp;base=LAW&amp;n=510818&amp;dst=774" TargetMode="External"/><Relationship Id="rId23" Type="http://schemas.openxmlformats.org/officeDocument/2006/relationships/hyperlink" Target="https://login.consultant.ru/link/?req=doc&amp;base=LAW&amp;n=214720&amp;dst=100116" TargetMode="External"/><Relationship Id="rId28" Type="http://schemas.openxmlformats.org/officeDocument/2006/relationships/hyperlink" Target="https://login.consultant.ru/link/?req=doc&amp;base=LAW&amp;n=522968&amp;dst=100047" TargetMode="External"/><Relationship Id="rId10" Type="http://schemas.openxmlformats.org/officeDocument/2006/relationships/hyperlink" Target="https://login.consultant.ru/link/?req=doc&amp;base=LAW&amp;n=504361&amp;dst=100380" TargetMode="External"/><Relationship Id="rId19" Type="http://schemas.openxmlformats.org/officeDocument/2006/relationships/hyperlink" Target="https://login.consultant.ru/link/?req=doc&amp;base=LAW&amp;n=214720&amp;dst=100080" TargetMode="External"/><Relationship Id="rId31" Type="http://schemas.openxmlformats.org/officeDocument/2006/relationships/hyperlink" Target="https://login.consultant.ru/link/?req=doc&amp;base=LAW&amp;n=5108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684&amp;dst=100141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096" TargetMode="External"/><Relationship Id="rId27" Type="http://schemas.openxmlformats.org/officeDocument/2006/relationships/hyperlink" Target="https://login.consultant.ru/link/?req=doc&amp;base=LAW&amp;n=499496" TargetMode="External"/><Relationship Id="rId30" Type="http://schemas.openxmlformats.org/officeDocument/2006/relationships/hyperlink" Target="https://login.consultant.ru/link/?req=doc&amp;base=LAW&amp;n=522971&amp;dst=10013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5243</Words>
  <Characters>29889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2026-02-27T07:46:00Z</dcterms:created>
  <dcterms:modified xsi:type="dcterms:W3CDTF">2026-02-27T07:46:00Z</dcterms:modified>
</cp:coreProperties>
</file>