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EB" w:rsidRDefault="00D307E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307EB" w:rsidRDefault="00D307EB">
      <w:pPr>
        <w:pStyle w:val="ConsPlusNormal"/>
        <w:jc w:val="both"/>
        <w:outlineLvl w:val="0"/>
      </w:pPr>
    </w:p>
    <w:p w:rsidR="00D307EB" w:rsidRDefault="00D307EB">
      <w:pPr>
        <w:pStyle w:val="ConsPlusNormal"/>
        <w:jc w:val="both"/>
        <w:outlineLvl w:val="0"/>
      </w:pPr>
      <w:r>
        <w:t>Зарегистрировано в Минюсте России 17 октября 2023 г. N 75610</w:t>
      </w:r>
    </w:p>
    <w:p w:rsidR="00D307EB" w:rsidRDefault="00D307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jc w:val="center"/>
      </w:pPr>
      <w:r>
        <w:t>МИНИСТЕРСТВО ПРОСВЕЩЕНИЯ РОССИЙСКОЙ ФЕДЕРАЦИИ</w:t>
      </w:r>
    </w:p>
    <w:p w:rsidR="00D307EB" w:rsidRDefault="00D307EB">
      <w:pPr>
        <w:pStyle w:val="ConsPlusTitle"/>
        <w:jc w:val="center"/>
      </w:pPr>
    </w:p>
    <w:p w:rsidR="00D307EB" w:rsidRDefault="00D307EB">
      <w:pPr>
        <w:pStyle w:val="ConsPlusTitle"/>
        <w:jc w:val="center"/>
      </w:pPr>
      <w:r>
        <w:t>ПРИКАЗ</w:t>
      </w:r>
    </w:p>
    <w:p w:rsidR="00D307EB" w:rsidRDefault="00D307EB">
      <w:pPr>
        <w:pStyle w:val="ConsPlusTitle"/>
        <w:jc w:val="center"/>
      </w:pPr>
      <w:r>
        <w:t>от 12 сентября 2023 г. N 676</w:t>
      </w:r>
    </w:p>
    <w:p w:rsidR="00D307EB" w:rsidRDefault="00D307EB">
      <w:pPr>
        <w:pStyle w:val="ConsPlusTitle"/>
        <w:jc w:val="center"/>
      </w:pPr>
    </w:p>
    <w:p w:rsidR="00D307EB" w:rsidRDefault="00D307EB">
      <w:pPr>
        <w:pStyle w:val="ConsPlusTitle"/>
        <w:jc w:val="center"/>
      </w:pPr>
      <w:r>
        <w:t>ОБ УТВЕРЖДЕНИИ</w:t>
      </w:r>
    </w:p>
    <w:p w:rsidR="00D307EB" w:rsidRDefault="00D307E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307EB" w:rsidRDefault="00D307EB">
      <w:pPr>
        <w:pStyle w:val="ConsPlusTitle"/>
        <w:jc w:val="center"/>
      </w:pPr>
      <w:r>
        <w:t>СРЕДНЕГО ПРОФЕССИОНАЛЬНОГО ОБРАЗОВАНИЯ ПО ПРОФЕССИИ</w:t>
      </w:r>
    </w:p>
    <w:p w:rsidR="00D307EB" w:rsidRDefault="00D307EB">
      <w:pPr>
        <w:pStyle w:val="ConsPlusTitle"/>
        <w:jc w:val="center"/>
      </w:pPr>
      <w:r>
        <w:t>15.02.17 МОНТАЖ, ТЕХНИЧЕСКОЕ ОБСЛУЖИВАНИЕ, ЭКСПЛУАТАЦИЯ</w:t>
      </w:r>
    </w:p>
    <w:p w:rsidR="00D307EB" w:rsidRDefault="00D307EB">
      <w:pPr>
        <w:pStyle w:val="ConsPlusTitle"/>
        <w:jc w:val="center"/>
      </w:pPr>
      <w:r>
        <w:t>И РЕМОНТ ПРОМЫШЛЕННОГО ОБОРУДОВАНИЯ (ПО ОТРАСЛЯМ)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3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15.02.17 Монтаж, техническое обслуживание, эксплуатация и ремонт промышленного оборудования (по отраслям) (далее - стандарт).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3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15.02.02</w:t>
        </w:r>
      </w:hyperlink>
      <w:r>
        <w:t xml:space="preserve"> Техническая эксплуатация оборудования для производства электронной техники, утвержденным приказом Министерства образования и науки Российской Федерации от 18 апреля 2014 г. N 343 (зарегистрирован Министерством юстиции Российской Федерации 5 июня 2014 г., регистрационный N 32597), с изменениями, внесенными приказом Министерства образования и науки Российской Федерации от 17 марта 2015 г. N 247 (зарегистрирован Министерством юстиции Российской Федерации 3 апреля 2015 г., регистрационный N 36713)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15.02.05</w:t>
        </w:r>
      </w:hyperlink>
      <w:r>
        <w:t xml:space="preserve"> Техническая эксплуатация оборудования в торговле и общественном питании, утвержденным приказом Министерства образования и науки Российской Федерации от 18 апреля 2014 г. N 347 (зарегистрирован Министерством юстиции Российской Федерации 27 мая 2014 г., регистрационный N 32438), с изменениями, внесенными приказом Министерства образования и науки Российской Федерации от 17 марта 2015 г. N 247 (зарегистрирован Министерством юстиции Российской Федерации 3 апреля 2015 г., регистрационный N 36713)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2">
        <w:r>
          <w:rPr>
            <w:color w:val="0000FF"/>
          </w:rPr>
          <w:t>15.02.12</w:t>
        </w:r>
      </w:hyperlink>
      <w:r>
        <w:t xml:space="preserve"> Монтаж, техническое обслуживание и ремонт промышленного оборудования (по отраслям), утвержденным приказом </w:t>
      </w:r>
      <w:r>
        <w:lastRenderedPageBreak/>
        <w:t>Министерства образования и науки Российской Федерации от 9 декабря 2016 г. N 1580 (зарегистрирован Министерством юстиции Российской Федерации 22 декабря 2016 г., регистрационный N 44904),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right"/>
      </w:pPr>
      <w:r>
        <w:t>Министр</w:t>
      </w:r>
    </w:p>
    <w:p w:rsidR="00D307EB" w:rsidRDefault="00D307EB">
      <w:pPr>
        <w:pStyle w:val="ConsPlusNormal"/>
        <w:jc w:val="right"/>
      </w:pPr>
      <w:r>
        <w:t>С.С.КРАВЦОВ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right"/>
        <w:outlineLvl w:val="0"/>
      </w:pPr>
      <w:r>
        <w:t>Утвержден</w:t>
      </w:r>
    </w:p>
    <w:p w:rsidR="00D307EB" w:rsidRDefault="00D307EB">
      <w:pPr>
        <w:pStyle w:val="ConsPlusNormal"/>
        <w:jc w:val="right"/>
      </w:pPr>
      <w:r>
        <w:t>приказом Министерства просвещения</w:t>
      </w:r>
    </w:p>
    <w:p w:rsidR="00D307EB" w:rsidRDefault="00D307EB">
      <w:pPr>
        <w:pStyle w:val="ConsPlusNormal"/>
        <w:jc w:val="right"/>
      </w:pPr>
      <w:r>
        <w:t>Российской Федерации</w:t>
      </w:r>
    </w:p>
    <w:p w:rsidR="00D307EB" w:rsidRDefault="00D307EB">
      <w:pPr>
        <w:pStyle w:val="ConsPlusNormal"/>
        <w:jc w:val="right"/>
      </w:pPr>
      <w:r>
        <w:t>от 12 сентября 2023 г. N 676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jc w:val="center"/>
      </w:pPr>
      <w:bookmarkStart w:id="0" w:name="P33"/>
      <w:bookmarkEnd w:id="0"/>
      <w:r>
        <w:t>ФЕДЕРАЛЬНЫЙ ГОСУДАРСТВЕННЫЙ ОБРАЗОВАТЕЛЬНЫЙ СТАНДАРТ</w:t>
      </w:r>
    </w:p>
    <w:p w:rsidR="00D307EB" w:rsidRDefault="00D307E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D307EB" w:rsidRDefault="00D307EB">
      <w:pPr>
        <w:pStyle w:val="ConsPlusTitle"/>
        <w:jc w:val="center"/>
      </w:pPr>
      <w:r>
        <w:t>15.02.17 МОНТАЖ, ТЕХНИЧЕСКОЕ ОБСЛУЖИВАНИЕ, ЭКСПЛУАТАЦИЯ</w:t>
      </w:r>
    </w:p>
    <w:p w:rsidR="00D307EB" w:rsidRDefault="00D307EB">
      <w:pPr>
        <w:pStyle w:val="ConsPlusTitle"/>
        <w:jc w:val="center"/>
      </w:pPr>
      <w:r>
        <w:t>И РЕМОНТ ПРОМЫШЛЕННОГО ОБОРУДОВАНИЯ (ПО ОТРАСЛЯМ)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jc w:val="center"/>
        <w:outlineLvl w:val="1"/>
      </w:pPr>
      <w:r>
        <w:t>I. ОБЩИЕ ПОЛОЖЕНИЯ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bookmarkStart w:id="1" w:name="P40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15.02.17 Монтаж, техническое обслуживание, эксплуатация и ремонт промышленного оборудования (по отраслям) (далее соответственно - ФГОС СПО, образовательная программа, специальность) в соответствии с квалификацией специалиста среднего звена "техник-механик" &lt;1&gt;.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4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lastRenderedPageBreak/>
        <w:t xml:space="preserve">&lt;2&gt; Федеральный государственный образовательный </w:t>
      </w:r>
      <w:hyperlink r:id="rId15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работы. &lt;3&gt;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lastRenderedPageBreak/>
        <w:t>на базе среднего общего образования - 2 года 10 месяцев;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bookmarkStart w:id="3" w:name="P74"/>
      <w:bookmarkEnd w:id="3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27</w:t>
        </w:r>
      </w:hyperlink>
      <w:r>
        <w:t xml:space="preserve"> Металлургическое производство, </w:t>
      </w:r>
      <w:hyperlink r:id="rId20">
        <w:r>
          <w:rPr>
            <w:color w:val="0000FF"/>
          </w:rPr>
          <w:t>28</w:t>
        </w:r>
      </w:hyperlink>
      <w:r>
        <w:t xml:space="preserve"> Производство машин и оборудования, </w:t>
      </w:r>
      <w:hyperlink r:id="rId21">
        <w:r>
          <w:rPr>
            <w:color w:val="0000FF"/>
          </w:rPr>
          <w:t>29</w:t>
        </w:r>
      </w:hyperlink>
      <w:r>
        <w:t xml:space="preserve"> Производство электрооборудования, электронного и оптического оборудования, </w:t>
      </w:r>
      <w:hyperlink r:id="rId22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промышленности, </w:t>
      </w:r>
      <w:hyperlink r:id="rId23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</w:t>
      </w:r>
      <w:r>
        <w:lastRenderedPageBreak/>
        <w:t>(зарегистрирован Министерством юстиции Российской Федерации 29 марта 2017 г., регистрационный N 46168).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0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практику;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right"/>
      </w:pPr>
      <w:r>
        <w:t>Таблица N 1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center"/>
      </w:pPr>
      <w:bookmarkStart w:id="4" w:name="P90"/>
      <w:bookmarkEnd w:id="4"/>
      <w:r>
        <w:t>Структура и объем образовательной программы</w:t>
      </w:r>
    </w:p>
    <w:p w:rsidR="00D307EB" w:rsidRDefault="00D307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D307EB">
        <w:tc>
          <w:tcPr>
            <w:tcW w:w="4818" w:type="dxa"/>
          </w:tcPr>
          <w:p w:rsidR="00D307EB" w:rsidRDefault="00D307EB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251" w:type="dxa"/>
          </w:tcPr>
          <w:p w:rsidR="00D307EB" w:rsidRDefault="00D307EB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D307EB">
        <w:tc>
          <w:tcPr>
            <w:tcW w:w="4818" w:type="dxa"/>
          </w:tcPr>
          <w:p w:rsidR="00D307EB" w:rsidRDefault="00D307E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251" w:type="dxa"/>
          </w:tcPr>
          <w:p w:rsidR="00D307EB" w:rsidRDefault="00D307EB">
            <w:pPr>
              <w:pStyle w:val="ConsPlusNormal"/>
              <w:jc w:val="center"/>
            </w:pPr>
            <w:r>
              <w:t>Не менее 1764</w:t>
            </w:r>
          </w:p>
        </w:tc>
      </w:tr>
      <w:tr w:rsidR="00D307EB">
        <w:tc>
          <w:tcPr>
            <w:tcW w:w="4818" w:type="dxa"/>
          </w:tcPr>
          <w:p w:rsidR="00D307EB" w:rsidRDefault="00D307EB">
            <w:pPr>
              <w:pStyle w:val="ConsPlusNormal"/>
            </w:pPr>
            <w:r>
              <w:t>Практика</w:t>
            </w:r>
          </w:p>
        </w:tc>
        <w:tc>
          <w:tcPr>
            <w:tcW w:w="4251" w:type="dxa"/>
          </w:tcPr>
          <w:p w:rsidR="00D307EB" w:rsidRDefault="00D307EB">
            <w:pPr>
              <w:pStyle w:val="ConsPlusNormal"/>
              <w:jc w:val="center"/>
            </w:pPr>
            <w:r>
              <w:t>Не менее 756</w:t>
            </w:r>
          </w:p>
        </w:tc>
      </w:tr>
      <w:tr w:rsidR="00D307EB">
        <w:tc>
          <w:tcPr>
            <w:tcW w:w="4818" w:type="dxa"/>
          </w:tcPr>
          <w:p w:rsidR="00D307EB" w:rsidRDefault="00D307E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251" w:type="dxa"/>
          </w:tcPr>
          <w:p w:rsidR="00D307EB" w:rsidRDefault="00D307EB">
            <w:pPr>
              <w:pStyle w:val="ConsPlusNormal"/>
              <w:jc w:val="center"/>
            </w:pPr>
            <w:r>
              <w:t>216</w:t>
            </w:r>
          </w:p>
        </w:tc>
      </w:tr>
      <w:tr w:rsidR="00D307EB">
        <w:tc>
          <w:tcPr>
            <w:tcW w:w="9069" w:type="dxa"/>
            <w:gridSpan w:val="2"/>
          </w:tcPr>
          <w:p w:rsidR="00D307EB" w:rsidRDefault="00D307EB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D307EB">
        <w:tc>
          <w:tcPr>
            <w:tcW w:w="4818" w:type="dxa"/>
          </w:tcPr>
          <w:p w:rsidR="00D307EB" w:rsidRDefault="00D307EB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251" w:type="dxa"/>
          </w:tcPr>
          <w:p w:rsidR="00D307EB" w:rsidRDefault="00D307EB">
            <w:pPr>
              <w:pStyle w:val="ConsPlusNormal"/>
              <w:jc w:val="center"/>
            </w:pPr>
            <w:r>
              <w:t>4464</w:t>
            </w:r>
          </w:p>
        </w:tc>
      </w:tr>
      <w:tr w:rsidR="00D307EB">
        <w:tc>
          <w:tcPr>
            <w:tcW w:w="4818" w:type="dxa"/>
          </w:tcPr>
          <w:p w:rsidR="00D307EB" w:rsidRDefault="00D307EB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251" w:type="dxa"/>
          </w:tcPr>
          <w:p w:rsidR="00D307EB" w:rsidRDefault="00D307EB">
            <w:pPr>
              <w:pStyle w:val="ConsPlusNormal"/>
              <w:jc w:val="center"/>
            </w:pPr>
            <w:r>
              <w:t>5940</w:t>
            </w:r>
          </w:p>
        </w:tc>
      </w:tr>
    </w:tbl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lastRenderedPageBreak/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5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D307EB" w:rsidRDefault="00D307EB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проведение монтажа, испытания промышленного (технологического) оборудования, выполнение пусконаладочных работ и сдача его в эксплуатацию (по отраслям);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организационно-техническое обеспечение ремонта промышленного (технологического) оборудования;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организация работ по снабжению производства заготовками, запасными частями, расходными материалами.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5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Общий объем дисциплины "Безопасность жизнедеятельности" в очной форме обучения не </w:t>
      </w:r>
      <w:r>
        <w:lastRenderedPageBreak/>
        <w:t>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"Материаловедение", "Техническая механика", "Метрология, стандартизация и технические измерения", "Электротехника и основы электроники", "Обработка металлов резанием, станки и инструменты", "Охрана труда и бережливое производство", "Математические методы в профессиональной деятельности", "Элементы САПР в профессиональной деятельности".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5 зачетных единиц.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jc w:val="center"/>
        <w:outlineLvl w:val="1"/>
      </w:pPr>
      <w:bookmarkStart w:id="6" w:name="P135"/>
      <w:bookmarkEnd w:id="6"/>
      <w:r>
        <w:t>III. ТРЕБОВАНИЯ К РЕЗУЛЬТАТАМ ОСВОЕНИЯ</w:t>
      </w:r>
    </w:p>
    <w:p w:rsidR="00D307EB" w:rsidRDefault="00D307EB">
      <w:pPr>
        <w:pStyle w:val="ConsPlusTitle"/>
        <w:jc w:val="center"/>
      </w:pPr>
      <w:r>
        <w:t>ОБРАЗОВАТЕЛЬНОЙ ПРОГРАММЫ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ОК 01. Выбирать способы решения задач профессиональной деятельности применительно к </w:t>
      </w:r>
      <w:r>
        <w:lastRenderedPageBreak/>
        <w:t>различным контекстам;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right"/>
      </w:pPr>
      <w:r>
        <w:t>Таблица N 2</w:t>
      </w:r>
    </w:p>
    <w:p w:rsidR="00D307EB" w:rsidRDefault="00D307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D307EB">
        <w:tc>
          <w:tcPr>
            <w:tcW w:w="2948" w:type="dxa"/>
          </w:tcPr>
          <w:p w:rsidR="00D307EB" w:rsidRDefault="00D307EB">
            <w:pPr>
              <w:pStyle w:val="ConsPlusNormal"/>
            </w:pPr>
            <w:r>
              <w:t>Виды деятельности</w:t>
            </w:r>
          </w:p>
        </w:tc>
        <w:tc>
          <w:tcPr>
            <w:tcW w:w="6122" w:type="dxa"/>
          </w:tcPr>
          <w:p w:rsidR="00D307EB" w:rsidRDefault="00D307EB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D307EB">
        <w:tc>
          <w:tcPr>
            <w:tcW w:w="2948" w:type="dxa"/>
          </w:tcPr>
          <w:p w:rsidR="00D307EB" w:rsidRDefault="00D307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2" w:type="dxa"/>
          </w:tcPr>
          <w:p w:rsidR="00D307EB" w:rsidRDefault="00D307EB">
            <w:pPr>
              <w:pStyle w:val="ConsPlusNormal"/>
              <w:jc w:val="center"/>
            </w:pPr>
            <w:r>
              <w:t>2</w:t>
            </w:r>
          </w:p>
        </w:tc>
      </w:tr>
      <w:tr w:rsidR="00D307EB">
        <w:tc>
          <w:tcPr>
            <w:tcW w:w="2948" w:type="dxa"/>
          </w:tcPr>
          <w:p w:rsidR="00D307EB" w:rsidRDefault="00D307EB">
            <w:pPr>
              <w:pStyle w:val="ConsPlusNormal"/>
            </w:pPr>
            <w:r>
              <w:t>проведение монтажа, испытания промышленного (технологического) оборудования, выполнение пусконаладочных работ и сдача его в эксплуатацию (по отраслям)</w:t>
            </w:r>
          </w:p>
        </w:tc>
        <w:tc>
          <w:tcPr>
            <w:tcW w:w="6122" w:type="dxa"/>
          </w:tcPr>
          <w:p w:rsidR="00D307EB" w:rsidRDefault="00D307EB">
            <w:pPr>
              <w:pStyle w:val="ConsPlusNormal"/>
              <w:jc w:val="both"/>
            </w:pPr>
            <w:r>
              <w:t>ПК 1.1. Осуществлять организационно-производственные работы для подготовки сборки и монтажа промышленного (технологического) оборудования.</w:t>
            </w:r>
          </w:p>
          <w:p w:rsidR="00D307EB" w:rsidRDefault="00D307EB">
            <w:pPr>
              <w:pStyle w:val="ConsPlusNormal"/>
              <w:jc w:val="both"/>
            </w:pPr>
            <w:r>
              <w:t>ПК 1.2. Проводить сборку, регулировку, дефектовку агрегатов промышленного (технологического) оборудования.</w:t>
            </w:r>
          </w:p>
          <w:p w:rsidR="00D307EB" w:rsidRDefault="00D307EB">
            <w:pPr>
              <w:pStyle w:val="ConsPlusNormal"/>
              <w:jc w:val="both"/>
            </w:pPr>
            <w:r>
              <w:t>ПК 1.3. 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эксплуатацию.</w:t>
            </w:r>
          </w:p>
        </w:tc>
      </w:tr>
      <w:tr w:rsidR="00D307EB">
        <w:tc>
          <w:tcPr>
            <w:tcW w:w="2948" w:type="dxa"/>
          </w:tcPr>
          <w:p w:rsidR="00D307EB" w:rsidRDefault="00D307EB">
            <w:pPr>
              <w:pStyle w:val="ConsPlusNormal"/>
            </w:pPr>
            <w:r>
              <w:t xml:space="preserve">организационно-технологическое обеспечение технического </w:t>
            </w:r>
            <w:r>
              <w:lastRenderedPageBreak/>
              <w:t>обслуживания, эксплуатации промышленного (технологического) оборудования (по отраслям)</w:t>
            </w:r>
          </w:p>
        </w:tc>
        <w:tc>
          <w:tcPr>
            <w:tcW w:w="6122" w:type="dxa"/>
          </w:tcPr>
          <w:p w:rsidR="00D307EB" w:rsidRDefault="00D307EB">
            <w:pPr>
              <w:pStyle w:val="ConsPlusNormal"/>
              <w:jc w:val="both"/>
            </w:pPr>
            <w:r>
              <w:lastRenderedPageBreak/>
              <w:t>ПК 2.1. Производить техническое обслуживание и диагностику промышленного (технологического) оборудования в процессе эксплуатации в соответствии с технической документацией.</w:t>
            </w:r>
          </w:p>
          <w:p w:rsidR="00D307EB" w:rsidRDefault="00D307EB">
            <w:pPr>
              <w:pStyle w:val="ConsPlusNormal"/>
              <w:jc w:val="both"/>
            </w:pPr>
            <w:r>
              <w:lastRenderedPageBreak/>
              <w:t>ПК 2.2. Разрабатывать технологическую документацию для проведения работ по техническому обслуживанию промышленного (технологического) оборудования.</w:t>
            </w:r>
          </w:p>
          <w:p w:rsidR="00D307EB" w:rsidRDefault="00D307EB">
            <w:pPr>
              <w:pStyle w:val="ConsPlusNormal"/>
              <w:jc w:val="both"/>
            </w:pPr>
            <w:r>
              <w:t>ПК 2.3. Организовать работу персонала по техническому обслуживанию промышленного (технологического) оборудования.</w:t>
            </w:r>
          </w:p>
        </w:tc>
      </w:tr>
      <w:tr w:rsidR="00D307EB">
        <w:tc>
          <w:tcPr>
            <w:tcW w:w="2948" w:type="dxa"/>
          </w:tcPr>
          <w:p w:rsidR="00D307EB" w:rsidRDefault="00D307EB">
            <w:pPr>
              <w:pStyle w:val="ConsPlusNormal"/>
            </w:pPr>
            <w:r>
              <w:lastRenderedPageBreak/>
              <w:t>организационно-техническое обеспечение ремонта промышленного (технологического) оборудования</w:t>
            </w:r>
          </w:p>
        </w:tc>
        <w:tc>
          <w:tcPr>
            <w:tcW w:w="6122" w:type="dxa"/>
          </w:tcPr>
          <w:p w:rsidR="00D307EB" w:rsidRDefault="00D307EB">
            <w:pPr>
              <w:pStyle w:val="ConsPlusNormal"/>
              <w:jc w:val="both"/>
            </w:pPr>
            <w:r>
              <w:t>ПК 3.1. Производить работы по организационному обеспечению и проведению плановых и неплановых ремонтов промышленного (технологического) оборудования.</w:t>
            </w:r>
          </w:p>
          <w:p w:rsidR="00D307EB" w:rsidRDefault="00D307EB">
            <w:pPr>
              <w:pStyle w:val="ConsPlusNormal"/>
              <w:jc w:val="both"/>
            </w:pPr>
            <w:r>
              <w:t>ПК 3.2. Разрабатывать технологическую документацию для проведения плановых и неплановых ремонтов промышленного (технологического) оборудования.</w:t>
            </w:r>
          </w:p>
          <w:p w:rsidR="00D307EB" w:rsidRDefault="00D307EB">
            <w:pPr>
              <w:pStyle w:val="ConsPlusNormal"/>
              <w:jc w:val="both"/>
            </w:pPr>
            <w:r>
              <w:t>ПК 3.3. Организовать работу персонала по ремонту промышленного (технологического) оборудования.</w:t>
            </w:r>
          </w:p>
        </w:tc>
      </w:tr>
      <w:tr w:rsidR="00D307EB">
        <w:tc>
          <w:tcPr>
            <w:tcW w:w="2948" w:type="dxa"/>
          </w:tcPr>
          <w:p w:rsidR="00D307EB" w:rsidRDefault="00D307EB">
            <w:pPr>
              <w:pStyle w:val="ConsPlusNormal"/>
            </w:pPr>
            <w:r>
              <w:t>организация работ по снабжению производства заготовками, запасными частями, расходными материалами</w:t>
            </w:r>
          </w:p>
        </w:tc>
        <w:tc>
          <w:tcPr>
            <w:tcW w:w="6122" w:type="dxa"/>
          </w:tcPr>
          <w:p w:rsidR="00D307EB" w:rsidRDefault="00D307EB">
            <w:pPr>
              <w:pStyle w:val="ConsPlusNormal"/>
              <w:jc w:val="both"/>
            </w:pPr>
            <w:r>
              <w:t>ПК 4.1. Осуществлять сбор данных о потребностях производства в заготовках, запасных частях, расходных материалах.</w:t>
            </w:r>
          </w:p>
          <w:p w:rsidR="00D307EB" w:rsidRDefault="00D307EB">
            <w:pPr>
              <w:pStyle w:val="ConsPlusNormal"/>
              <w:jc w:val="both"/>
            </w:pPr>
            <w:r>
              <w:t>ПК 4.2. Оформлять документацию на заготовки, запасные части, расходный материал.</w:t>
            </w:r>
          </w:p>
          <w:p w:rsidR="00D307EB" w:rsidRDefault="00D307EB">
            <w:pPr>
              <w:pStyle w:val="ConsPlusNormal"/>
              <w:jc w:val="both"/>
            </w:pPr>
            <w:r>
              <w:t>ПК 4.3. Проводить анализ результатов использования заготовок, запасных частей, расходных материалов.</w:t>
            </w:r>
          </w:p>
        </w:tc>
      </w:tr>
    </w:tbl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5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D307EB" w:rsidRDefault="00D307EB">
      <w:pPr>
        <w:pStyle w:val="ConsPlusTitle"/>
        <w:jc w:val="center"/>
      </w:pPr>
      <w:r>
        <w:t>ОБРАЗОВАТЕЛЬНОЙ ПРОГРАММЫ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lastRenderedPageBreak/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7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8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9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обучающихся, предусмотренные учебным планом, </w:t>
      </w:r>
      <w:r>
        <w:lastRenderedPageBreak/>
        <w:t>включая промежуточную и государственную итоговую аттестацию, должны быть обеспечены расходными материалами;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lastRenderedPageBreak/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3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D307EB" w:rsidRDefault="00D307EB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jc w:val="both"/>
      </w:pPr>
    </w:p>
    <w:p w:rsidR="00D307EB" w:rsidRDefault="00D307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BA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EB"/>
    <w:rsid w:val="00437639"/>
    <w:rsid w:val="00D3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DF78F-178C-4B4C-AB0C-753876E4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0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712&amp;dst=101166" TargetMode="External"/><Relationship Id="rId13" Type="http://schemas.openxmlformats.org/officeDocument/2006/relationships/hyperlink" Target="https://login.consultant.ru/link/?req=doc&amp;base=LAW&amp;n=516823&amp;dst=100562" TargetMode="External"/><Relationship Id="rId18" Type="http://schemas.openxmlformats.org/officeDocument/2006/relationships/hyperlink" Target="https://login.consultant.ru/link/?req=doc&amp;base=LAW&amp;n=411930&amp;dst=100030" TargetMode="External"/><Relationship Id="rId26" Type="http://schemas.openxmlformats.org/officeDocument/2006/relationships/hyperlink" Target="https://login.consultant.ru/link/?req=doc&amp;base=LAW&amp;n=4994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106" TargetMode="External"/><Relationship Id="rId7" Type="http://schemas.openxmlformats.org/officeDocument/2006/relationships/hyperlink" Target="https://login.consultant.ru/link/?req=doc&amp;base=LAW&amp;n=398322&amp;dst=100012" TargetMode="External"/><Relationship Id="rId12" Type="http://schemas.openxmlformats.org/officeDocument/2006/relationships/hyperlink" Target="https://login.consultant.ru/link/?req=doc&amp;base=LAW&amp;n=377712&amp;dst=124" TargetMode="External"/><Relationship Id="rId17" Type="http://schemas.openxmlformats.org/officeDocument/2006/relationships/hyperlink" Target="https://login.consultant.ru/link/?req=doc&amp;base=LAW&amp;n=510818&amp;dst=100249" TargetMode="External"/><Relationship Id="rId25" Type="http://schemas.openxmlformats.org/officeDocument/2006/relationships/hyperlink" Target="https://login.consultant.ru/link/?req=doc&amp;base=LAW&amp;n=510818&amp;dst=41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&amp;dst=774" TargetMode="External"/><Relationship Id="rId20" Type="http://schemas.openxmlformats.org/officeDocument/2006/relationships/hyperlink" Target="https://login.consultant.ru/link/?req=doc&amp;base=LAW&amp;n=214720&amp;dst=100104" TargetMode="External"/><Relationship Id="rId29" Type="http://schemas.openxmlformats.org/officeDocument/2006/relationships/hyperlink" Target="https://login.consultant.ru/link/?req=doc&amp;base=LAW&amp;n=522971&amp;dst=100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429094&amp;dst=100010" TargetMode="External"/><Relationship Id="rId24" Type="http://schemas.openxmlformats.org/officeDocument/2006/relationships/hyperlink" Target="https://login.consultant.ru/link/?req=doc&amp;base=LAW&amp;n=214720&amp;dst=10004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501142&amp;dst=4" TargetMode="External"/><Relationship Id="rId23" Type="http://schemas.openxmlformats.org/officeDocument/2006/relationships/hyperlink" Target="https://login.consultant.ru/link/?req=doc&amp;base=LAW&amp;n=214720&amp;dst=100114" TargetMode="External"/><Relationship Id="rId28" Type="http://schemas.openxmlformats.org/officeDocument/2006/relationships/hyperlink" Target="https://login.consultant.ru/link/?req=doc&amp;base=LAW&amp;n=494597&amp;dst=100037" TargetMode="External"/><Relationship Id="rId10" Type="http://schemas.openxmlformats.org/officeDocument/2006/relationships/hyperlink" Target="https://login.consultant.ru/link/?req=doc&amp;base=LAW&amp;n=377712&amp;dst=101175" TargetMode="External"/><Relationship Id="rId19" Type="http://schemas.openxmlformats.org/officeDocument/2006/relationships/hyperlink" Target="https://login.consultant.ru/link/?req=doc&amp;base=LAW&amp;n=214720&amp;dst=100102" TargetMode="External"/><Relationship Id="rId31" Type="http://schemas.openxmlformats.org/officeDocument/2006/relationships/hyperlink" Target="https://login.consultant.ru/link/?req=doc&amp;base=LAW&amp;n=4957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8328&amp;dst=100012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214720&amp;dst=100116" TargetMode="External"/><Relationship Id="rId27" Type="http://schemas.openxmlformats.org/officeDocument/2006/relationships/hyperlink" Target="https://login.consultant.ru/link/?req=doc&amp;base=LAW&amp;n=522968&amp;dst=100047" TargetMode="External"/><Relationship Id="rId30" Type="http://schemas.openxmlformats.org/officeDocument/2006/relationships/hyperlink" Target="https://login.consultant.ru/link/?req=doc&amp;base=LAW&amp;n=510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5572</Words>
  <Characters>31767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2026-02-27T07:49:00Z</dcterms:created>
  <dcterms:modified xsi:type="dcterms:W3CDTF">2026-02-27T07:49:00Z</dcterms:modified>
</cp:coreProperties>
</file>